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E455C5">
      <w:pPr>
        <w:autoSpaceDE w:val="0"/>
        <w:autoSpaceDN w:val="0"/>
        <w:adjustRightInd w:val="0"/>
        <w:spacing w:line="600" w:lineRule="exact"/>
        <w:jc w:val="center"/>
        <w:rPr>
          <w:rFonts w:ascii="Times New Roman" w:hAnsi="Times New Roman" w:eastAsia="方正大标宋_GBK"/>
          <w:kern w:val="0"/>
          <w:sz w:val="44"/>
          <w:szCs w:val="44"/>
        </w:rPr>
      </w:pPr>
      <w:r>
        <w:rPr>
          <w:rFonts w:hint="eastAsia" w:ascii="Times New Roman" w:hAnsi="Times New Roman" w:eastAsia="方正大标宋_GBK"/>
          <w:kern w:val="0"/>
          <w:sz w:val="44"/>
          <w:szCs w:val="44"/>
        </w:rPr>
        <w:t>第十一届攀枝花欢乐阳光节</w:t>
      </w:r>
      <w:r>
        <w:rPr>
          <w:rFonts w:ascii="Times New Roman" w:hAnsi="Times New Roman" w:eastAsia="方正大标宋_GBK"/>
          <w:kern w:val="0"/>
          <w:sz w:val="44"/>
          <w:szCs w:val="44"/>
        </w:rPr>
        <w:t>项目支出</w:t>
      </w:r>
    </w:p>
    <w:p w14:paraId="1136D7C2">
      <w:pPr>
        <w:autoSpaceDE w:val="0"/>
        <w:autoSpaceDN w:val="0"/>
        <w:adjustRightInd w:val="0"/>
        <w:spacing w:line="600" w:lineRule="exact"/>
        <w:jc w:val="center"/>
        <w:rPr>
          <w:rFonts w:ascii="Times New Roman" w:hAnsi="Times New Roman" w:eastAsia="方正大标宋_GBK"/>
          <w:kern w:val="0"/>
          <w:sz w:val="44"/>
          <w:szCs w:val="44"/>
        </w:rPr>
      </w:pPr>
      <w:r>
        <w:rPr>
          <w:rFonts w:ascii="Times New Roman" w:hAnsi="Times New Roman" w:eastAsia="方正大标宋_GBK"/>
          <w:kern w:val="0"/>
          <w:sz w:val="44"/>
          <w:szCs w:val="44"/>
        </w:rPr>
        <w:t>绩效</w:t>
      </w:r>
      <w:r>
        <w:rPr>
          <w:rFonts w:hint="eastAsia" w:ascii="Times New Roman" w:hAnsi="Times New Roman" w:eastAsia="方正大标宋_GBK"/>
          <w:kern w:val="0"/>
          <w:sz w:val="44"/>
          <w:szCs w:val="44"/>
        </w:rPr>
        <w:t>评价</w:t>
      </w:r>
      <w:r>
        <w:rPr>
          <w:rFonts w:ascii="Times New Roman" w:hAnsi="Times New Roman" w:eastAsia="方正大标宋_GBK"/>
          <w:kern w:val="0"/>
          <w:sz w:val="44"/>
          <w:szCs w:val="44"/>
        </w:rPr>
        <w:t>报告</w:t>
      </w:r>
    </w:p>
    <w:p w14:paraId="24F2EF3C">
      <w:pPr>
        <w:autoSpaceDE w:val="0"/>
        <w:autoSpaceDN w:val="0"/>
        <w:adjustRightInd w:val="0"/>
        <w:spacing w:line="600" w:lineRule="exact"/>
        <w:rPr>
          <w:rFonts w:ascii="Times New Roman" w:hAnsi="Times New Roman" w:eastAsia="方正大标宋_GBK"/>
          <w:kern w:val="0"/>
          <w:sz w:val="44"/>
          <w:szCs w:val="44"/>
        </w:rPr>
      </w:pPr>
    </w:p>
    <w:p w14:paraId="68C27DA0">
      <w:pPr>
        <w:autoSpaceDE w:val="0"/>
        <w:autoSpaceDN w:val="0"/>
        <w:adjustRightInd w:val="0"/>
        <w:spacing w:line="600" w:lineRule="exact"/>
        <w:ind w:firstLine="640" w:firstLineChars="200"/>
        <w:rPr>
          <w:rFonts w:ascii="Times New Roman" w:hAnsi="Times New Roman" w:eastAsia="黑体"/>
          <w:kern w:val="0"/>
          <w:sz w:val="32"/>
          <w:szCs w:val="32"/>
        </w:rPr>
      </w:pPr>
      <w:r>
        <w:rPr>
          <w:rFonts w:hint="eastAsia" w:ascii="仿宋_GB2312" w:eastAsia="仿宋_GB2312"/>
          <w:sz w:val="32"/>
          <w:szCs w:val="32"/>
        </w:rPr>
        <w:t>按照《中共四川省委办公厅 四川省人民政府办公厅关于深入实施预算绩效管理的通知》（川委厅〔2022〕5号）和</w:t>
      </w:r>
      <w:r>
        <w:rPr>
          <w:rFonts w:ascii="仿宋_GB2312" w:eastAsia="仿宋_GB2312"/>
          <w:sz w:val="32"/>
          <w:szCs w:val="32"/>
        </w:rPr>
        <w:t>《</w:t>
      </w:r>
      <w:r>
        <w:rPr>
          <w:rFonts w:hint="eastAsia" w:ascii="仿宋_GB2312" w:eastAsia="仿宋_GB2312"/>
          <w:sz w:val="32"/>
          <w:szCs w:val="32"/>
        </w:rPr>
        <w:t>攀枝花</w:t>
      </w:r>
      <w:r>
        <w:rPr>
          <w:rFonts w:ascii="仿宋_GB2312" w:eastAsia="仿宋_GB2312"/>
          <w:sz w:val="32"/>
          <w:szCs w:val="32"/>
        </w:rPr>
        <w:t>财政局关于开展</w:t>
      </w:r>
      <w:r>
        <w:rPr>
          <w:rFonts w:hint="eastAsia" w:ascii="仿宋_GB2312" w:eastAsia="仿宋_GB2312"/>
          <w:sz w:val="32"/>
          <w:szCs w:val="32"/>
        </w:rPr>
        <w:t>2021年</w:t>
      </w:r>
      <w:r>
        <w:rPr>
          <w:rFonts w:ascii="仿宋_GB2312" w:eastAsia="仿宋_GB2312"/>
          <w:sz w:val="32"/>
          <w:szCs w:val="32"/>
        </w:rPr>
        <w:t>度绩效评价工作的通知》</w:t>
      </w:r>
      <w:r>
        <w:rPr>
          <w:rFonts w:hint="eastAsia" w:ascii="仿宋_GB2312" w:eastAsia="仿宋_GB2312"/>
          <w:sz w:val="32"/>
          <w:szCs w:val="32"/>
        </w:rPr>
        <w:t>（攀财</w:t>
      </w:r>
      <w:r>
        <w:rPr>
          <w:rFonts w:ascii="仿宋_GB2312" w:eastAsia="仿宋_GB2312"/>
          <w:sz w:val="32"/>
          <w:szCs w:val="32"/>
        </w:rPr>
        <w:t>绩</w:t>
      </w:r>
      <w:r>
        <w:rPr>
          <w:rFonts w:hint="eastAsia" w:ascii="仿宋_GB2312" w:eastAsia="仿宋_GB2312"/>
          <w:sz w:val="32"/>
          <w:szCs w:val="32"/>
        </w:rPr>
        <w:t>〔20</w:t>
      </w:r>
      <w:r>
        <w:rPr>
          <w:rFonts w:ascii="仿宋_GB2312" w:eastAsia="仿宋_GB2312"/>
          <w:sz w:val="32"/>
          <w:szCs w:val="32"/>
        </w:rPr>
        <w:t>22</w:t>
      </w: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号</w:t>
      </w:r>
      <w:r>
        <w:rPr>
          <w:rFonts w:ascii="仿宋_GB2312" w:eastAsia="仿宋_GB2312"/>
          <w:sz w:val="32"/>
          <w:szCs w:val="32"/>
        </w:rPr>
        <w:t>）</w:t>
      </w:r>
      <w:r>
        <w:rPr>
          <w:rFonts w:hint="eastAsia" w:ascii="仿宋_GB2312" w:eastAsia="仿宋_GB2312"/>
          <w:sz w:val="32"/>
          <w:szCs w:val="32"/>
        </w:rPr>
        <w:t>要求</w:t>
      </w:r>
      <w:r>
        <w:rPr>
          <w:rFonts w:ascii="仿宋_GB2312" w:eastAsia="仿宋_GB2312"/>
          <w:sz w:val="32"/>
          <w:szCs w:val="32"/>
        </w:rPr>
        <w:t>，为进一步提高</w:t>
      </w:r>
      <w:r>
        <w:rPr>
          <w:rFonts w:hint="eastAsia" w:ascii="仿宋_GB2312" w:eastAsia="仿宋_GB2312"/>
          <w:sz w:val="32"/>
          <w:szCs w:val="32"/>
        </w:rPr>
        <w:t>资金</w:t>
      </w:r>
      <w:r>
        <w:rPr>
          <w:rFonts w:ascii="仿宋_GB2312" w:eastAsia="仿宋_GB2312"/>
          <w:sz w:val="32"/>
          <w:szCs w:val="32"/>
        </w:rPr>
        <w:t>使用绩效，</w:t>
      </w:r>
      <w:r>
        <w:rPr>
          <w:rFonts w:hint="eastAsia" w:ascii="仿宋_GB2312" w:eastAsia="仿宋_GB2312"/>
          <w:sz w:val="32"/>
          <w:szCs w:val="32"/>
        </w:rPr>
        <w:t>增强</w:t>
      </w:r>
      <w:r>
        <w:rPr>
          <w:rFonts w:ascii="仿宋_GB2312" w:eastAsia="仿宋_GB2312"/>
          <w:sz w:val="32"/>
          <w:szCs w:val="32"/>
        </w:rPr>
        <w:t>单位绩效管理意识，</w:t>
      </w:r>
      <w:r>
        <w:rPr>
          <w:rFonts w:hint="eastAsia" w:ascii="仿宋_GB2312" w:eastAsia="仿宋_GB2312"/>
          <w:sz w:val="32"/>
          <w:szCs w:val="32"/>
        </w:rPr>
        <w:t>市</w:t>
      </w:r>
      <w:r>
        <w:rPr>
          <w:rFonts w:ascii="仿宋_GB2312" w:eastAsia="仿宋_GB2312"/>
          <w:sz w:val="32"/>
          <w:szCs w:val="32"/>
        </w:rPr>
        <w:t>财政局绩效评价组对</w:t>
      </w:r>
      <w:r>
        <w:rPr>
          <w:rFonts w:hint="eastAsia" w:ascii="仿宋_GB2312" w:eastAsia="仿宋_GB2312"/>
          <w:sz w:val="32"/>
          <w:szCs w:val="32"/>
        </w:rPr>
        <w:t>第十一届攀枝花欢乐阳光节项目进行</w:t>
      </w:r>
      <w:r>
        <w:rPr>
          <w:rFonts w:ascii="仿宋_GB2312" w:eastAsia="仿宋_GB2312"/>
          <w:sz w:val="32"/>
          <w:szCs w:val="32"/>
        </w:rPr>
        <w:t>了</w:t>
      </w:r>
      <w:r>
        <w:rPr>
          <w:rFonts w:hint="eastAsia" w:ascii="仿宋_GB2312" w:eastAsia="仿宋_GB2312"/>
          <w:sz w:val="32"/>
          <w:szCs w:val="32"/>
        </w:rPr>
        <w:t>绩效评价，</w:t>
      </w:r>
      <w:r>
        <w:rPr>
          <w:rFonts w:ascii="仿宋_GB2312" w:eastAsia="仿宋_GB2312"/>
          <w:sz w:val="32"/>
          <w:szCs w:val="32"/>
        </w:rPr>
        <w:t>评价情况如下</w:t>
      </w:r>
      <w:r>
        <w:rPr>
          <w:rFonts w:hint="eastAsia" w:ascii="仿宋_GB2312" w:eastAsia="仿宋_GB2312"/>
          <w:sz w:val="32"/>
          <w:szCs w:val="32"/>
        </w:rPr>
        <w:t>：</w:t>
      </w:r>
    </w:p>
    <w:p w14:paraId="56EE2817">
      <w:pPr>
        <w:autoSpaceDE w:val="0"/>
        <w:autoSpaceDN w:val="0"/>
        <w:adjustRightInd w:val="0"/>
        <w:spacing w:line="600" w:lineRule="exact"/>
        <w:ind w:firstLine="640" w:firstLineChars="200"/>
        <w:rPr>
          <w:rFonts w:ascii="Times New Roman" w:hAnsi="Times New Roman" w:eastAsia="黑体"/>
          <w:kern w:val="0"/>
          <w:sz w:val="32"/>
          <w:szCs w:val="32"/>
        </w:rPr>
      </w:pPr>
      <w:r>
        <w:rPr>
          <w:rFonts w:ascii="Times New Roman" w:hAnsi="Times New Roman" w:eastAsia="黑体"/>
          <w:kern w:val="0"/>
          <w:sz w:val="32"/>
          <w:szCs w:val="32"/>
        </w:rPr>
        <w:t>一、项目概况</w:t>
      </w:r>
    </w:p>
    <w:p w14:paraId="3C1EA297">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（一）项目基本情况。</w:t>
      </w:r>
    </w:p>
    <w:p w14:paraId="47954FE5">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 xml:space="preserve">1． </w:t>
      </w:r>
      <w:r>
        <w:rPr>
          <w:rFonts w:hint="eastAsia" w:ascii="Times New Roman" w:hAnsi="Times New Roman" w:eastAsia="仿宋_GB2312"/>
          <w:kern w:val="0"/>
          <w:sz w:val="32"/>
          <w:szCs w:val="32"/>
        </w:rPr>
        <w:t>项目</w:t>
      </w:r>
      <w:r>
        <w:rPr>
          <w:rFonts w:ascii="Times New Roman" w:hAnsi="Times New Roman" w:eastAsia="仿宋_GB2312"/>
          <w:kern w:val="0"/>
          <w:sz w:val="32"/>
          <w:szCs w:val="32"/>
        </w:rPr>
        <w:t>背景。</w:t>
      </w:r>
      <w:r>
        <w:rPr>
          <w:rFonts w:hint="eastAsia" w:eastAsia="仿宋_GB2312"/>
          <w:sz w:val="32"/>
          <w:szCs w:val="32"/>
        </w:rPr>
        <w:t>为深入贯彻落实中央、省委、市委关于文化旅游产业发展的部署要求和省、市文化旅游发展大会精神，</w:t>
      </w:r>
      <w:r>
        <w:rPr>
          <w:rFonts w:eastAsia="仿宋_GB2312"/>
          <w:sz w:val="32"/>
          <w:szCs w:val="32"/>
        </w:rPr>
        <w:t>促进攀枝花阳光康养旅游资源开发，</w:t>
      </w:r>
      <w:r>
        <w:rPr>
          <w:rFonts w:hint="eastAsia" w:eastAsia="仿宋_GB2312"/>
          <w:sz w:val="32"/>
          <w:szCs w:val="32"/>
        </w:rPr>
        <w:t>持续用力做好“</w:t>
      </w:r>
      <w:r>
        <w:rPr>
          <w:rFonts w:eastAsia="仿宋_GB2312"/>
          <w:sz w:val="32"/>
          <w:szCs w:val="32"/>
        </w:rPr>
        <w:t>阳光文章</w:t>
      </w:r>
      <w:r>
        <w:rPr>
          <w:rFonts w:hint="eastAsia" w:eastAsia="仿宋_GB2312"/>
          <w:sz w:val="32"/>
          <w:szCs w:val="32"/>
        </w:rPr>
        <w:t>”，</w:t>
      </w:r>
      <w:r>
        <w:rPr>
          <w:rFonts w:eastAsia="仿宋_GB2312"/>
          <w:sz w:val="32"/>
          <w:szCs w:val="32"/>
        </w:rPr>
        <w:t>加快推动阳光康养产业发展</w:t>
      </w:r>
      <w:r>
        <w:rPr>
          <w:rFonts w:hint="eastAsia" w:eastAsia="仿宋_GB2312"/>
          <w:sz w:val="32"/>
          <w:szCs w:val="32"/>
        </w:rPr>
        <w:t>，</w:t>
      </w:r>
      <w:r>
        <w:rPr>
          <w:rFonts w:eastAsia="仿宋_GB2312"/>
          <w:sz w:val="32"/>
          <w:szCs w:val="32"/>
        </w:rPr>
        <w:t>着力</w:t>
      </w:r>
      <w:r>
        <w:rPr>
          <w:rFonts w:hint="eastAsia" w:eastAsia="仿宋_GB2312"/>
          <w:sz w:val="32"/>
          <w:szCs w:val="32"/>
        </w:rPr>
        <w:t>推进</w:t>
      </w:r>
      <w:r>
        <w:rPr>
          <w:rFonts w:eastAsia="仿宋_GB2312"/>
          <w:sz w:val="32"/>
          <w:szCs w:val="32"/>
        </w:rPr>
        <w:t>国际阳光康养旅游目的地</w:t>
      </w:r>
      <w:r>
        <w:rPr>
          <w:rFonts w:hint="eastAsia" w:eastAsia="仿宋_GB2312"/>
          <w:sz w:val="32"/>
          <w:szCs w:val="32"/>
        </w:rPr>
        <w:t>建设，</w:t>
      </w:r>
      <w:r>
        <w:rPr>
          <w:rFonts w:eastAsia="仿宋_GB2312"/>
          <w:sz w:val="32"/>
          <w:szCs w:val="32"/>
        </w:rPr>
        <w:t>全力</w:t>
      </w:r>
      <w:r>
        <w:rPr>
          <w:rFonts w:hint="eastAsia" w:eastAsia="仿宋_GB2312"/>
          <w:sz w:val="32"/>
          <w:szCs w:val="32"/>
        </w:rPr>
        <w:t>打造</w:t>
      </w:r>
      <w:r>
        <w:rPr>
          <w:rFonts w:eastAsia="仿宋_GB2312"/>
          <w:sz w:val="32"/>
          <w:szCs w:val="32"/>
        </w:rPr>
        <w:t>成渝地区阳光康养度假旅游</w:t>
      </w:r>
      <w:r>
        <w:rPr>
          <w:rFonts w:hint="eastAsia" w:eastAsia="仿宋_GB2312"/>
          <w:sz w:val="32"/>
          <w:szCs w:val="32"/>
        </w:rPr>
        <w:t>“</w:t>
      </w:r>
      <w:r>
        <w:rPr>
          <w:rFonts w:eastAsia="仿宋_GB2312"/>
          <w:sz w:val="32"/>
          <w:szCs w:val="32"/>
        </w:rPr>
        <w:t>后花园</w:t>
      </w:r>
      <w:r>
        <w:rPr>
          <w:rFonts w:hint="eastAsia" w:eastAsia="仿宋_GB2312"/>
          <w:sz w:val="32"/>
          <w:szCs w:val="32"/>
        </w:rPr>
        <w:t>”，推动攀枝花文化旅游高质量发展，</w:t>
      </w:r>
      <w:r>
        <w:rPr>
          <w:rFonts w:hint="eastAsia" w:ascii="仿宋_GB2312" w:hAnsi="仿宋" w:eastAsia="仿宋_GB2312"/>
          <w:sz w:val="32"/>
          <w:szCs w:val="32"/>
        </w:rPr>
        <w:t>塑造“英雄攀枝花 阳光康养地”的城市整体形象，</w:t>
      </w:r>
      <w:r>
        <w:rPr>
          <w:rFonts w:hint="eastAsia" w:eastAsia="仿宋_GB2312"/>
          <w:sz w:val="32"/>
          <w:szCs w:val="32"/>
        </w:rPr>
        <w:t>打造冬季特色品牌文旅活动。</w:t>
      </w:r>
      <w:r>
        <w:rPr>
          <w:rFonts w:hint="eastAsia" w:ascii="Times New Roman" w:hAnsi="Times New Roman" w:eastAsia="仿宋_GB2312"/>
          <w:kern w:val="0"/>
          <w:sz w:val="32"/>
          <w:szCs w:val="32"/>
        </w:rPr>
        <w:t>按照市委、市政府工作部署，</w:t>
      </w:r>
      <w:r>
        <w:rPr>
          <w:rFonts w:ascii="Times New Roman" w:hAnsi="Times New Roman" w:eastAsia="仿宋_GB2312"/>
          <w:kern w:val="0"/>
          <w:sz w:val="32"/>
          <w:szCs w:val="32"/>
        </w:rPr>
        <w:t>市文广旅局</w:t>
      </w:r>
      <w:r>
        <w:rPr>
          <w:rFonts w:hint="eastAsia" w:ascii="Times New Roman" w:hAnsi="Times New Roman" w:eastAsia="仿宋_GB2312"/>
          <w:kern w:val="0"/>
          <w:sz w:val="32"/>
          <w:szCs w:val="32"/>
        </w:rPr>
        <w:t>于</w:t>
      </w:r>
      <w:r>
        <w:rPr>
          <w:rFonts w:ascii="Times New Roman" w:hAnsi="Times New Roman" w:eastAsia="仿宋_GB2312"/>
          <w:kern w:val="0"/>
          <w:sz w:val="32"/>
          <w:szCs w:val="32"/>
        </w:rPr>
        <w:t>20</w:t>
      </w:r>
      <w:r>
        <w:rPr>
          <w:rFonts w:hint="eastAsia" w:ascii="Times New Roman" w:hAnsi="Times New Roman" w:eastAsia="仿宋_GB2312"/>
          <w:kern w:val="0"/>
          <w:sz w:val="32"/>
          <w:szCs w:val="32"/>
        </w:rPr>
        <w:t>20</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举办了</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w:t>
      </w:r>
    </w:p>
    <w:p w14:paraId="4241D860">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2．项目立项、资金申报的依据。</w:t>
      </w:r>
      <w:r>
        <w:rPr>
          <w:rFonts w:ascii="Times New Roman" w:hAnsi="Times New Roman" w:eastAsia="仿宋_GB2312"/>
          <w:color w:val="000000" w:themeColor="text1"/>
          <w:kern w:val="0"/>
          <w:sz w:val="32"/>
          <w:szCs w:val="32"/>
        </w:rPr>
        <w:t>根据《攀枝花市文化广播电视和旅游局关于</w:t>
      </w:r>
      <w:r>
        <w:rPr>
          <w:rFonts w:hint="eastAsia" w:ascii="Times New Roman" w:hAnsi="Times New Roman" w:eastAsia="仿宋_GB2312"/>
          <w:color w:val="000000" w:themeColor="text1"/>
          <w:kern w:val="0"/>
          <w:sz w:val="32"/>
          <w:szCs w:val="32"/>
        </w:rPr>
        <w:t>提请审定&lt;第十一届攀枝花欢乐阳光节开幕式方案（送审稿）&gt;的请示</w:t>
      </w:r>
      <w:r>
        <w:rPr>
          <w:rFonts w:ascii="Times New Roman" w:hAnsi="Times New Roman" w:eastAsia="仿宋_GB2312"/>
          <w:color w:val="000000" w:themeColor="text1"/>
          <w:kern w:val="0"/>
          <w:sz w:val="32"/>
          <w:szCs w:val="32"/>
        </w:rPr>
        <w:t>》文件及市领导批示精神，</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届攀枝花欢乐阳光节活动经费筹集采取市财政补助、</w:t>
      </w:r>
      <w:r>
        <w:rPr>
          <w:rFonts w:hint="eastAsia" w:ascii="Times New Roman" w:hAnsi="Times New Roman" w:eastAsia="仿宋_GB2312"/>
          <w:kern w:val="0"/>
          <w:sz w:val="32"/>
          <w:szCs w:val="32"/>
        </w:rPr>
        <w:t>盐边县</w:t>
      </w:r>
      <w:r>
        <w:rPr>
          <w:rFonts w:ascii="Times New Roman" w:hAnsi="Times New Roman" w:eastAsia="仿宋_GB2312"/>
          <w:kern w:val="0"/>
          <w:sz w:val="32"/>
          <w:szCs w:val="32"/>
        </w:rPr>
        <w:t>政府自筹</w:t>
      </w:r>
      <w:r>
        <w:rPr>
          <w:rFonts w:hint="eastAsia" w:ascii="Times New Roman" w:hAnsi="Times New Roman" w:eastAsia="仿宋_GB2312"/>
          <w:kern w:val="0"/>
          <w:sz w:val="32"/>
          <w:szCs w:val="32"/>
        </w:rPr>
        <w:t>的</w:t>
      </w:r>
      <w:r>
        <w:rPr>
          <w:rFonts w:ascii="Times New Roman" w:hAnsi="Times New Roman" w:eastAsia="仿宋_GB2312"/>
          <w:kern w:val="0"/>
          <w:sz w:val="32"/>
          <w:szCs w:val="32"/>
        </w:rPr>
        <w:t>方式共同解决。市财政</w:t>
      </w:r>
      <w:r>
        <w:rPr>
          <w:rFonts w:hint="eastAsia" w:ascii="Times New Roman" w:hAnsi="Times New Roman" w:eastAsia="仿宋_GB2312"/>
          <w:kern w:val="0"/>
          <w:sz w:val="32"/>
          <w:szCs w:val="32"/>
        </w:rPr>
        <w:t>共</w:t>
      </w:r>
      <w:r>
        <w:rPr>
          <w:rFonts w:ascii="Times New Roman" w:hAnsi="Times New Roman" w:eastAsia="仿宋_GB2312"/>
          <w:kern w:val="0"/>
          <w:sz w:val="32"/>
          <w:szCs w:val="32"/>
        </w:rPr>
        <w:t>安排</w:t>
      </w:r>
      <w:r>
        <w:rPr>
          <w:rFonts w:hint="eastAsia" w:ascii="Times New Roman" w:hAnsi="Times New Roman" w:eastAsia="仿宋_GB2312"/>
          <w:kern w:val="0"/>
          <w:sz w:val="32"/>
          <w:szCs w:val="32"/>
        </w:rPr>
        <w:t>经费</w:t>
      </w:r>
      <w:r>
        <w:rPr>
          <w:rFonts w:ascii="Times New Roman" w:hAnsi="Times New Roman" w:eastAsia="仿宋_GB2312"/>
          <w:kern w:val="0"/>
          <w:sz w:val="32"/>
          <w:szCs w:val="32"/>
        </w:rPr>
        <w:t>预算</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万元。</w:t>
      </w:r>
    </w:p>
    <w:p w14:paraId="273577C0">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3．资金支持方向</w:t>
      </w:r>
      <w:r>
        <w:rPr>
          <w:rFonts w:hint="eastAsia" w:ascii="Times New Roman" w:hAnsi="Times New Roman" w:eastAsia="仿宋_GB2312"/>
          <w:kern w:val="0"/>
          <w:sz w:val="32"/>
          <w:szCs w:val="32"/>
        </w:rPr>
        <w:t>。</w:t>
      </w:r>
      <w:r>
        <w:rPr>
          <w:rFonts w:ascii="Times New Roman" w:hAnsi="Times New Roman" w:eastAsia="仿宋_GB2312"/>
          <w:kern w:val="0"/>
          <w:sz w:val="32"/>
          <w:szCs w:val="32"/>
        </w:rPr>
        <w:t>根据</w:t>
      </w:r>
      <w:r>
        <w:rPr>
          <w:rFonts w:ascii="Times New Roman" w:hAnsi="Times New Roman" w:eastAsia="仿宋_GB2312"/>
          <w:sz w:val="32"/>
        </w:rPr>
        <w:t>《攀枝花市人民政府办公室关于进一步加强市级财政资金管理的通知》</w:t>
      </w:r>
      <w:r>
        <w:rPr>
          <w:rFonts w:ascii="Times New Roman" w:hAnsi="Times New Roman" w:eastAsia="仿宋_GB2312"/>
          <w:sz w:val="32"/>
          <w:szCs w:val="32"/>
        </w:rPr>
        <w:t>（攀办发〔2017〕161号）和《攀枝花市市级旅游发展专项资金管理办法》（攀旅产发〔2016〕3号）文件精神</w:t>
      </w:r>
      <w:r>
        <w:rPr>
          <w:rFonts w:ascii="Times New Roman" w:hAnsi="Times New Roman" w:eastAsia="仿宋_GB2312"/>
          <w:kern w:val="0"/>
          <w:sz w:val="32"/>
          <w:szCs w:val="32"/>
        </w:rPr>
        <w:t>，结合本次活动，资金支持方向具体用于旅游形象推广（包括境内外形象推广、营销渠道建设、网络营销、开展旅游合作与交流等）。使用范围为旅游宣传促销（包括组织及参加国内外重大主题促销活动、重要展会及会展等宣传推广活动，旅游宣传推广平台建设、国内外营销渠道建设和媒体宣传，制作旅游音像制品、旅游宣传画册和新媒体促销等方面的支出）。</w:t>
      </w:r>
    </w:p>
    <w:p w14:paraId="61683800">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4．资金分配</w:t>
      </w:r>
      <w:r>
        <w:rPr>
          <w:rFonts w:hint="eastAsia" w:ascii="Times New Roman" w:hAnsi="Times New Roman" w:eastAsia="仿宋_GB2312"/>
          <w:kern w:val="0"/>
          <w:sz w:val="32"/>
          <w:szCs w:val="32"/>
        </w:rPr>
        <w:t>因素</w:t>
      </w:r>
      <w:r>
        <w:rPr>
          <w:rFonts w:ascii="Times New Roman" w:hAnsi="Times New Roman" w:eastAsia="仿宋_GB2312"/>
          <w:kern w:val="0"/>
          <w:sz w:val="32"/>
          <w:szCs w:val="32"/>
        </w:rPr>
        <w:t>。</w:t>
      </w:r>
      <w:r>
        <w:rPr>
          <w:rFonts w:hint="eastAsia" w:ascii="Times New Roman" w:hAnsi="Times New Roman" w:eastAsia="仿宋_GB2312"/>
          <w:kern w:val="0"/>
          <w:sz w:val="32"/>
          <w:szCs w:val="32"/>
        </w:rPr>
        <w:t>按照市委、市政府安排部署，</w:t>
      </w:r>
      <w:r>
        <w:rPr>
          <w:rFonts w:ascii="Times New Roman" w:hAnsi="Times New Roman" w:eastAsia="仿宋_GB2312"/>
          <w:kern w:val="0"/>
          <w:sz w:val="32"/>
          <w:szCs w:val="32"/>
        </w:rPr>
        <w:t>根据《</w:t>
      </w:r>
      <w:r>
        <w:rPr>
          <w:rFonts w:hint="eastAsia" w:ascii="Times New Roman" w:hAnsi="Times New Roman" w:eastAsia="仿宋_GB2312"/>
          <w:color w:val="000000" w:themeColor="text1"/>
          <w:kern w:val="0"/>
          <w:sz w:val="32"/>
          <w:szCs w:val="32"/>
        </w:rPr>
        <w:t>第十一届攀枝花欢乐阳光节开幕式方案（送审稿）</w:t>
      </w:r>
      <w:r>
        <w:rPr>
          <w:rFonts w:ascii="Times New Roman" w:hAnsi="Times New Roman" w:eastAsia="仿宋_GB2312"/>
          <w:kern w:val="0"/>
          <w:sz w:val="32"/>
          <w:szCs w:val="32"/>
        </w:rPr>
        <w:t>》的内容，结合重点工作任务分工对资金分配使用。市财政</w:t>
      </w:r>
      <w:r>
        <w:rPr>
          <w:rFonts w:hint="eastAsia" w:ascii="Times New Roman" w:hAnsi="Times New Roman" w:eastAsia="仿宋_GB2312"/>
          <w:kern w:val="0"/>
          <w:sz w:val="32"/>
          <w:szCs w:val="32"/>
        </w:rPr>
        <w:t>共</w:t>
      </w:r>
      <w:r>
        <w:rPr>
          <w:rFonts w:ascii="Times New Roman" w:hAnsi="Times New Roman" w:eastAsia="仿宋_GB2312"/>
          <w:kern w:val="0"/>
          <w:sz w:val="32"/>
          <w:szCs w:val="32"/>
        </w:rPr>
        <w:t>安排第十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ascii="Times New Roman" w:hAnsi="仿宋_GB2312" w:eastAsia="仿宋_GB2312"/>
          <w:kern w:val="0"/>
          <w:sz w:val="32"/>
          <w:szCs w:val="32"/>
        </w:rPr>
        <w:t>活动</w:t>
      </w:r>
      <w:r>
        <w:rPr>
          <w:rFonts w:hint="eastAsia" w:ascii="Times New Roman" w:hAnsi="Times New Roman" w:eastAsia="仿宋_GB2312"/>
          <w:kern w:val="0"/>
          <w:sz w:val="32"/>
          <w:szCs w:val="32"/>
        </w:rPr>
        <w:t>经费</w:t>
      </w:r>
      <w:r>
        <w:rPr>
          <w:rFonts w:ascii="Times New Roman" w:hAnsi="Times New Roman" w:eastAsia="仿宋_GB2312"/>
          <w:kern w:val="0"/>
          <w:sz w:val="32"/>
          <w:szCs w:val="32"/>
        </w:rPr>
        <w:t>预算</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万元</w:t>
      </w:r>
      <w:r>
        <w:rPr>
          <w:rFonts w:hint="eastAsia" w:ascii="Times New Roman" w:hAnsi="Times New Roman" w:eastAsia="仿宋_GB2312"/>
          <w:kern w:val="0"/>
          <w:sz w:val="32"/>
          <w:szCs w:val="32"/>
        </w:rPr>
        <w:t>，其中分配市文广旅局14万元，盐边县文广旅局60万元，市文化馆29万元，市广播电视台50万元</w:t>
      </w:r>
      <w:r>
        <w:rPr>
          <w:rFonts w:ascii="Times New Roman" w:hAnsi="Times New Roman" w:eastAsia="仿宋_GB2312"/>
          <w:kern w:val="0"/>
          <w:sz w:val="32"/>
          <w:szCs w:val="32"/>
        </w:rPr>
        <w:t>。</w:t>
      </w:r>
    </w:p>
    <w:p w14:paraId="0BDDE798">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（二）项目绩效目标。</w:t>
      </w:r>
    </w:p>
    <w:p w14:paraId="7D157D05">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1．项目主要内容。</w:t>
      </w:r>
    </w:p>
    <w:p w14:paraId="5BA91E44">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w:t>
      </w:r>
      <w:r>
        <w:rPr>
          <w:rFonts w:hint="eastAsia" w:ascii="Times New Roman" w:hAnsi="Times New Roman" w:eastAsia="仿宋_GB2312"/>
          <w:kern w:val="0"/>
          <w:sz w:val="32"/>
          <w:szCs w:val="32"/>
        </w:rPr>
        <w:t>节活动经费</w:t>
      </w:r>
      <w:r>
        <w:rPr>
          <w:rFonts w:ascii="Times New Roman" w:hAnsi="Times New Roman" w:eastAsia="仿宋_GB2312"/>
          <w:kern w:val="0"/>
          <w:sz w:val="32"/>
          <w:szCs w:val="32"/>
        </w:rPr>
        <w:t>节</w:t>
      </w:r>
      <w:r>
        <w:rPr>
          <w:rFonts w:ascii="Times New Roman" w:hAnsi="仿宋_GB2312" w:eastAsia="仿宋_GB2312"/>
          <w:kern w:val="0"/>
          <w:sz w:val="32"/>
          <w:szCs w:val="32"/>
        </w:rPr>
        <w:t>主要用于：</w:t>
      </w:r>
      <w:r>
        <w:rPr>
          <w:rFonts w:hint="eastAsia" w:ascii="Times New Roman" w:hAnsi="仿宋_GB2312" w:eastAsia="仿宋_GB2312"/>
          <w:kern w:val="0"/>
          <w:sz w:val="32"/>
          <w:szCs w:val="32"/>
        </w:rPr>
        <w:t>完成</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仿宋_GB2312" w:eastAsia="仿宋_GB2312"/>
          <w:kern w:val="0"/>
          <w:sz w:val="32"/>
          <w:szCs w:val="32"/>
        </w:rPr>
        <w:t>开幕式及文化活动开展，完成康养文旅精品展活动，同时开展线上营销活动，</w:t>
      </w:r>
      <w:r>
        <w:rPr>
          <w:rFonts w:hint="eastAsia" w:ascii="Times New Roman" w:hAnsi="Times New Roman" w:eastAsia="仿宋_GB2312" w:cs="仿宋_GB2312"/>
          <w:color w:val="000000"/>
          <w:sz w:val="32"/>
          <w:szCs w:val="32"/>
          <w:shd w:val="clear" w:color="auto" w:fill="FFFFFF"/>
          <w:lang w:val="zh-CN"/>
        </w:rPr>
        <w:t>大力塑造</w:t>
      </w:r>
      <w:r>
        <w:rPr>
          <w:rFonts w:ascii="Times New Roman" w:hAnsi="Times New Roman" w:eastAsia="仿宋_GB2312"/>
          <w:color w:val="000000"/>
          <w:sz w:val="32"/>
          <w:szCs w:val="32"/>
          <w:shd w:val="clear" w:color="auto" w:fill="FFFFFF"/>
          <w:lang w:val="zh-CN"/>
        </w:rPr>
        <w:t>“</w:t>
      </w:r>
      <w:r>
        <w:rPr>
          <w:rFonts w:hint="eastAsia" w:ascii="Times New Roman" w:hAnsi="Times New Roman" w:eastAsia="仿宋_GB2312" w:cs="仿宋_GB2312"/>
          <w:color w:val="000000"/>
          <w:sz w:val="32"/>
          <w:szCs w:val="32"/>
          <w:shd w:val="clear" w:color="auto" w:fill="FFFFFF"/>
          <w:lang w:val="zh-CN"/>
        </w:rPr>
        <w:t>英雄攀枝 花阳光康养地</w:t>
      </w:r>
      <w:r>
        <w:rPr>
          <w:rFonts w:ascii="Times New Roman" w:hAnsi="Times New Roman" w:eastAsia="仿宋_GB2312"/>
          <w:color w:val="000000"/>
          <w:sz w:val="32"/>
          <w:szCs w:val="32"/>
          <w:shd w:val="clear" w:color="auto" w:fill="FFFFFF"/>
          <w:lang w:val="zh-CN"/>
        </w:rPr>
        <w:t>”</w:t>
      </w:r>
      <w:r>
        <w:rPr>
          <w:rFonts w:hint="eastAsia" w:ascii="Times New Roman" w:hAnsi="Times New Roman" w:eastAsia="仿宋_GB2312" w:cs="仿宋_GB2312"/>
          <w:color w:val="000000"/>
          <w:sz w:val="32"/>
          <w:szCs w:val="32"/>
          <w:shd w:val="clear" w:color="auto" w:fill="FFFFFF"/>
          <w:lang w:val="zh-CN"/>
        </w:rPr>
        <w:t>城市形象，加快推进国际阳光康养旅游目的地建设</w:t>
      </w:r>
      <w:r>
        <w:rPr>
          <w:rFonts w:hint="eastAsia" w:ascii="Times New Roman" w:hAnsi="仿宋_GB2312" w:eastAsia="仿宋_GB2312"/>
          <w:kern w:val="0"/>
          <w:sz w:val="32"/>
          <w:szCs w:val="32"/>
        </w:rPr>
        <w:t>。</w:t>
      </w:r>
    </w:p>
    <w:p w14:paraId="79219376">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2．项目具体绩效目标。</w:t>
      </w:r>
    </w:p>
    <w:p w14:paraId="480BB079">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sz w:val="32"/>
          <w:szCs w:val="32"/>
        </w:rPr>
        <w:t>圆满完成</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活动，</w:t>
      </w:r>
      <w:r>
        <w:rPr>
          <w:rFonts w:ascii="Times New Roman" w:hAnsi="Times New Roman" w:eastAsia="仿宋_GB2312"/>
          <w:kern w:val="0"/>
          <w:sz w:val="32"/>
          <w:szCs w:val="32"/>
        </w:rPr>
        <w:t>推进攀枝花国际阳光康养旅游目的地建设，促进文化旅游深度融合，打造特色品牌文旅活动，推介攀枝花特色旅游产品，推动攀枝花文化旅游高质量发展，建设文化旅游高地。</w:t>
      </w:r>
      <w:r>
        <w:rPr>
          <w:rFonts w:ascii="Times New Roman" w:hAnsi="仿宋_GB2312" w:eastAsia="仿宋_GB2312"/>
          <w:kern w:val="0"/>
          <w:sz w:val="32"/>
          <w:szCs w:val="32"/>
        </w:rPr>
        <w:t>具体如下：</w:t>
      </w:r>
    </w:p>
    <w:p w14:paraId="58D7E54C">
      <w:pPr>
        <w:spacing w:line="600" w:lineRule="exact"/>
        <w:ind w:firstLine="640" w:firstLineChars="200"/>
        <w:rPr>
          <w:rFonts w:ascii="Times New Roman" w:hAnsi="Times New Roman" w:eastAsia="仿宋_GB2312"/>
          <w:kern w:val="0"/>
          <w:sz w:val="32"/>
          <w:szCs w:val="32"/>
        </w:rPr>
      </w:pPr>
      <w:r>
        <w:rPr>
          <w:rFonts w:ascii="Times New Roman" w:hAnsi="仿宋_GB2312" w:eastAsia="仿宋_GB2312"/>
          <w:kern w:val="0"/>
          <w:sz w:val="32"/>
          <w:szCs w:val="32"/>
        </w:rPr>
        <w:t>（</w:t>
      </w:r>
      <w:r>
        <w:rPr>
          <w:rFonts w:ascii="Times New Roman" w:hAnsi="Times New Roman" w:eastAsia="仿宋_GB2312"/>
          <w:kern w:val="0"/>
          <w:sz w:val="32"/>
          <w:szCs w:val="32"/>
        </w:rPr>
        <w:t>1</w:t>
      </w:r>
      <w:r>
        <w:rPr>
          <w:rFonts w:ascii="Times New Roman" w:hAnsi="仿宋_GB2312" w:eastAsia="仿宋_GB2312"/>
          <w:kern w:val="0"/>
          <w:sz w:val="32"/>
          <w:szCs w:val="32"/>
        </w:rPr>
        <w:t>）市文广旅局：</w:t>
      </w:r>
      <w:r>
        <w:rPr>
          <w:rFonts w:hint="eastAsia" w:ascii="Times New Roman" w:hAnsi="仿宋_GB2312" w:eastAsia="仿宋_GB2312"/>
          <w:kern w:val="0"/>
          <w:sz w:val="32"/>
          <w:szCs w:val="32"/>
        </w:rPr>
        <w:t>完成</w:t>
      </w:r>
      <w:r>
        <w:rPr>
          <w:rFonts w:ascii="Times New Roman" w:hAnsi="Times New Roman" w:eastAsia="仿宋_GB2312"/>
          <w:kern w:val="0"/>
          <w:sz w:val="32"/>
          <w:szCs w:val="32"/>
        </w:rPr>
        <w:t>2020</w:t>
      </w:r>
      <w:r>
        <w:rPr>
          <w:rFonts w:hint="eastAsia" w:ascii="Times New Roman" w:hAnsi="Times New Roman" w:eastAsia="仿宋_GB2312"/>
          <w:kern w:val="0"/>
          <w:sz w:val="32"/>
          <w:szCs w:val="32"/>
        </w:rPr>
        <w:t>年攀枝花市第十一届欢乐阳光节组织会务、宣传等工作。</w:t>
      </w:r>
    </w:p>
    <w:p w14:paraId="692BF655">
      <w:pPr>
        <w:spacing w:line="600" w:lineRule="exact"/>
        <w:ind w:firstLine="640" w:firstLineChars="200"/>
        <w:rPr>
          <w:rFonts w:ascii="Times New Roman" w:hAnsi="Times New Roman" w:eastAsia="仿宋_GB2312"/>
          <w:color w:val="FF0000"/>
          <w:sz w:val="32"/>
          <w:szCs w:val="32"/>
        </w:rPr>
      </w:pPr>
      <w:r>
        <w:rPr>
          <w:rFonts w:ascii="Times New Roman" w:hAnsi="仿宋_GB2312" w:eastAsia="仿宋_GB2312"/>
          <w:kern w:val="0"/>
          <w:sz w:val="32"/>
          <w:szCs w:val="32"/>
        </w:rPr>
        <w:t>（</w:t>
      </w:r>
      <w:r>
        <w:rPr>
          <w:rFonts w:ascii="Times New Roman" w:hAnsi="Times New Roman" w:eastAsia="仿宋_GB2312"/>
          <w:kern w:val="0"/>
          <w:sz w:val="32"/>
          <w:szCs w:val="32"/>
        </w:rPr>
        <w:t>2</w:t>
      </w:r>
      <w:r>
        <w:rPr>
          <w:rFonts w:ascii="Times New Roman" w:hAnsi="仿宋_GB2312" w:eastAsia="仿宋_GB2312"/>
          <w:kern w:val="0"/>
          <w:sz w:val="32"/>
          <w:szCs w:val="32"/>
        </w:rPr>
        <w:t>）</w:t>
      </w:r>
      <w:r>
        <w:rPr>
          <w:rFonts w:hint="eastAsia" w:ascii="Times New Roman" w:hAnsi="仿宋_GB2312" w:eastAsia="仿宋_GB2312"/>
          <w:kern w:val="0"/>
          <w:sz w:val="32"/>
          <w:szCs w:val="32"/>
        </w:rPr>
        <w:t>盐边县文广旅局</w:t>
      </w:r>
      <w:r>
        <w:rPr>
          <w:rFonts w:ascii="Times New Roman" w:hAnsi="仿宋_GB2312" w:eastAsia="仿宋_GB2312"/>
          <w:kern w:val="0"/>
          <w:sz w:val="32"/>
          <w:szCs w:val="32"/>
        </w:rPr>
        <w:t>：</w:t>
      </w:r>
      <w:r>
        <w:rPr>
          <w:rFonts w:hint="eastAsia" w:ascii="Times New Roman" w:hAnsi="仿宋_GB2312" w:eastAsia="仿宋_GB2312"/>
          <w:kern w:val="0"/>
          <w:sz w:val="32"/>
          <w:szCs w:val="32"/>
        </w:rPr>
        <w:t>完成</w:t>
      </w:r>
      <w:r>
        <w:rPr>
          <w:rFonts w:ascii="Times New Roman" w:hAnsi="Times New Roman" w:eastAsia="仿宋_GB2312"/>
          <w:kern w:val="0"/>
          <w:sz w:val="32"/>
          <w:szCs w:val="32"/>
        </w:rPr>
        <w:t>2020</w:t>
      </w:r>
      <w:r>
        <w:rPr>
          <w:rFonts w:hint="eastAsia" w:ascii="Times New Roman" w:hAnsi="Times New Roman" w:eastAsia="仿宋_GB2312"/>
          <w:kern w:val="0"/>
          <w:sz w:val="32"/>
          <w:szCs w:val="32"/>
        </w:rPr>
        <w:t>年攀枝花市第十一届欢乐阳光节开幕式舞台搭建及文化活动开展。</w:t>
      </w:r>
    </w:p>
    <w:p w14:paraId="571B1552">
      <w:pPr>
        <w:autoSpaceDE w:val="0"/>
        <w:autoSpaceDN w:val="0"/>
        <w:adjustRightInd w:val="0"/>
        <w:spacing w:line="600" w:lineRule="exact"/>
        <w:ind w:firstLine="640" w:firstLineChars="200"/>
        <w:rPr>
          <w:rFonts w:ascii="Times New Roman" w:hAnsi="Times New Roman" w:eastAsia="仿宋_GB2312"/>
          <w:sz w:val="32"/>
          <w:szCs w:val="32"/>
        </w:rPr>
      </w:pPr>
      <w:r>
        <w:rPr>
          <w:rFonts w:ascii="Times New Roman" w:hAnsi="仿宋_GB2312" w:eastAsia="仿宋_GB2312"/>
          <w:kern w:val="0"/>
          <w:sz w:val="32"/>
          <w:szCs w:val="32"/>
        </w:rPr>
        <w:t>（</w:t>
      </w:r>
      <w:r>
        <w:rPr>
          <w:rFonts w:ascii="Times New Roman" w:hAnsi="Times New Roman" w:eastAsia="仿宋_GB2312"/>
          <w:kern w:val="0"/>
          <w:sz w:val="32"/>
          <w:szCs w:val="32"/>
        </w:rPr>
        <w:t>3</w:t>
      </w:r>
      <w:r>
        <w:rPr>
          <w:rFonts w:ascii="Times New Roman" w:hAnsi="仿宋_GB2312" w:eastAsia="仿宋_GB2312"/>
          <w:kern w:val="0"/>
          <w:sz w:val="32"/>
          <w:szCs w:val="32"/>
        </w:rPr>
        <w:t>）</w:t>
      </w:r>
      <w:r>
        <w:rPr>
          <w:rFonts w:hint="eastAsia" w:ascii="Times New Roman" w:hAnsi="仿宋_GB2312" w:eastAsia="仿宋_GB2312"/>
          <w:kern w:val="0"/>
          <w:sz w:val="32"/>
          <w:szCs w:val="32"/>
        </w:rPr>
        <w:t>市</w:t>
      </w:r>
      <w:r>
        <w:rPr>
          <w:rFonts w:ascii="Times New Roman" w:hAnsi="仿宋_GB2312" w:eastAsia="仿宋_GB2312"/>
          <w:kern w:val="0"/>
          <w:sz w:val="32"/>
          <w:szCs w:val="32"/>
        </w:rPr>
        <w:t>文化馆：</w:t>
      </w:r>
      <w:r>
        <w:rPr>
          <w:rFonts w:ascii="Times New Roman" w:hAnsi="Times New Roman" w:eastAsia="仿宋_GB2312"/>
          <w:sz w:val="32"/>
          <w:szCs w:val="32"/>
        </w:rPr>
        <w:t>完成</w:t>
      </w:r>
      <w:r>
        <w:rPr>
          <w:rFonts w:hint="eastAsia" w:ascii="Times New Roman" w:hAnsi="Times New Roman" w:eastAsia="仿宋_GB2312"/>
          <w:sz w:val="32"/>
          <w:szCs w:val="32"/>
        </w:rPr>
        <w:t>2020年</w:t>
      </w:r>
      <w:r>
        <w:rPr>
          <w:rFonts w:ascii="Times New Roman" w:hAnsi="Times New Roman" w:eastAsia="仿宋_GB2312"/>
          <w:sz w:val="32"/>
          <w:szCs w:val="32"/>
        </w:rPr>
        <w:t>攀枝花市第十</w:t>
      </w:r>
      <w:r>
        <w:rPr>
          <w:rFonts w:hint="eastAsia" w:ascii="Times New Roman" w:hAnsi="Times New Roman" w:eastAsia="仿宋_GB2312"/>
          <w:sz w:val="32"/>
          <w:szCs w:val="32"/>
        </w:rPr>
        <w:t>一</w:t>
      </w:r>
      <w:r>
        <w:rPr>
          <w:rFonts w:ascii="Times New Roman" w:hAnsi="Times New Roman" w:eastAsia="仿宋_GB2312"/>
          <w:sz w:val="32"/>
          <w:szCs w:val="32"/>
        </w:rPr>
        <w:t>届欢乐阳光节</w:t>
      </w:r>
      <w:r>
        <w:rPr>
          <w:rFonts w:hint="eastAsia" w:ascii="Times New Roman" w:hAnsi="Times New Roman" w:eastAsia="仿宋_GB2312"/>
          <w:sz w:val="32"/>
          <w:szCs w:val="32"/>
        </w:rPr>
        <w:t>康养文旅精品展工作。</w:t>
      </w:r>
    </w:p>
    <w:p w14:paraId="199F02F5">
      <w:pPr>
        <w:autoSpaceDE w:val="0"/>
        <w:autoSpaceDN w:val="0"/>
        <w:adjustRightInd w:val="0"/>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w:t>
      </w:r>
      <w:r>
        <w:rPr>
          <w:rFonts w:hint="eastAsia" w:ascii="Times New Roman" w:hAnsi="Times New Roman" w:eastAsia="仿宋_GB2312"/>
          <w:sz w:val="32"/>
          <w:szCs w:val="32"/>
        </w:rPr>
        <w:t>市广播电视台</w:t>
      </w:r>
      <w:r>
        <w:rPr>
          <w:rFonts w:ascii="Times New Roman" w:hAnsi="Times New Roman" w:eastAsia="仿宋_GB2312"/>
          <w:sz w:val="32"/>
          <w:szCs w:val="32"/>
        </w:rPr>
        <w:t>：</w:t>
      </w:r>
      <w:r>
        <w:rPr>
          <w:rFonts w:hint="eastAsia" w:ascii="Times New Roman" w:hAnsi="Times New Roman" w:eastAsia="仿宋_GB2312"/>
          <w:sz w:val="32"/>
          <w:szCs w:val="32"/>
        </w:rPr>
        <w:t>完成2020年</w:t>
      </w:r>
      <w:r>
        <w:rPr>
          <w:rFonts w:ascii="Times New Roman" w:hAnsi="Times New Roman" w:eastAsia="仿宋_GB2312"/>
          <w:sz w:val="32"/>
          <w:szCs w:val="32"/>
        </w:rPr>
        <w:t>攀枝花市第十</w:t>
      </w:r>
      <w:r>
        <w:rPr>
          <w:rFonts w:hint="eastAsia" w:ascii="Times New Roman" w:hAnsi="Times New Roman" w:eastAsia="仿宋_GB2312"/>
          <w:sz w:val="32"/>
          <w:szCs w:val="32"/>
        </w:rPr>
        <w:t>一</w:t>
      </w:r>
      <w:r>
        <w:rPr>
          <w:rFonts w:ascii="Times New Roman" w:hAnsi="Times New Roman" w:eastAsia="仿宋_GB2312"/>
          <w:sz w:val="32"/>
          <w:szCs w:val="32"/>
        </w:rPr>
        <w:t>届欢乐阳光节</w:t>
      </w:r>
      <w:r>
        <w:rPr>
          <w:rFonts w:hint="eastAsia" w:ascii="Times New Roman" w:hAnsi="Times New Roman" w:eastAsia="仿宋_GB2312"/>
          <w:sz w:val="32"/>
          <w:szCs w:val="32"/>
        </w:rPr>
        <w:t>线上营销工作，包括</w:t>
      </w:r>
      <w:r>
        <w:rPr>
          <w:rFonts w:hint="eastAsia" w:eastAsia="仿宋_GB2312"/>
          <w:sz w:val="32"/>
          <w:szCs w:val="32"/>
        </w:rPr>
        <w:t>主流媒体发布了第十一届攀枝花欢乐阳光节活动时间，地点等关键信息，通过@浪迹四川微博发布话题，微博开屏广告、微博话题造势等</w:t>
      </w:r>
      <w:r>
        <w:rPr>
          <w:rFonts w:hint="eastAsia" w:ascii="Times New Roman" w:hAnsi="Times New Roman" w:eastAsia="仿宋_GB2312"/>
          <w:sz w:val="32"/>
          <w:szCs w:val="32"/>
        </w:rPr>
        <w:t>。</w:t>
      </w:r>
    </w:p>
    <w:p w14:paraId="1999AD02">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3．申报内容和申报目标。</w:t>
      </w:r>
    </w:p>
    <w:p w14:paraId="3ADA70C7">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项目内容及绩效结合文化旅游战略目标、年度工作目标以及市委、市政府确定的重点文化旅游工作部署，符合实际情况，项目预算及绩效目标合理可行。</w:t>
      </w:r>
    </w:p>
    <w:p w14:paraId="50431F3D">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（三）项目</w:t>
      </w:r>
      <w:r>
        <w:rPr>
          <w:rFonts w:hint="eastAsia" w:ascii="Times New Roman" w:hAnsi="Times New Roman" w:eastAsia="楷体_GB2312"/>
          <w:kern w:val="0"/>
          <w:sz w:val="32"/>
          <w:szCs w:val="32"/>
        </w:rPr>
        <w:t>评价</w:t>
      </w:r>
      <w:r>
        <w:rPr>
          <w:rFonts w:ascii="Times New Roman" w:hAnsi="Times New Roman" w:eastAsia="楷体_GB2312"/>
          <w:kern w:val="0"/>
          <w:sz w:val="32"/>
          <w:szCs w:val="32"/>
        </w:rPr>
        <w:t>步骤。</w:t>
      </w:r>
    </w:p>
    <w:p w14:paraId="78BAF5F8">
      <w:pPr>
        <w:autoSpaceDE w:val="0"/>
        <w:autoSpaceDN w:val="0"/>
        <w:adjustRightInd w:val="0"/>
        <w:spacing w:line="600" w:lineRule="exact"/>
        <w:ind w:firstLine="640" w:firstLineChars="200"/>
        <w:rPr>
          <w:rFonts w:ascii="Times New Roman" w:hAnsi="Times New Roman" w:eastAsia="仿宋_GB2312"/>
          <w:sz w:val="32"/>
          <w:szCs w:val="32"/>
        </w:rPr>
      </w:pPr>
      <w:r>
        <w:rPr>
          <w:rFonts w:ascii="仿宋_GB2312" w:eastAsia="仿宋_GB2312"/>
          <w:sz w:val="32"/>
          <w:szCs w:val="32"/>
        </w:rPr>
        <w:t>1.组织单位和县（区）自评。</w:t>
      </w:r>
      <w:r>
        <w:rPr>
          <w:rFonts w:ascii="Times New Roman" w:hAnsi="Times New Roman" w:eastAsia="仿宋_GB2312"/>
          <w:sz w:val="32"/>
          <w:szCs w:val="32"/>
        </w:rPr>
        <w:t>按照</w:t>
      </w:r>
      <w:r>
        <w:rPr>
          <w:rFonts w:ascii="仿宋_GB2312" w:eastAsia="仿宋_GB2312"/>
          <w:sz w:val="32"/>
          <w:szCs w:val="32"/>
        </w:rPr>
        <w:t>《</w:t>
      </w:r>
      <w:r>
        <w:rPr>
          <w:rFonts w:hint="eastAsia" w:ascii="仿宋_GB2312" w:eastAsia="仿宋_GB2312"/>
          <w:sz w:val="32"/>
          <w:szCs w:val="32"/>
        </w:rPr>
        <w:t>攀枝花</w:t>
      </w:r>
      <w:r>
        <w:rPr>
          <w:rFonts w:ascii="仿宋_GB2312" w:eastAsia="仿宋_GB2312"/>
          <w:sz w:val="32"/>
          <w:szCs w:val="32"/>
        </w:rPr>
        <w:t>财政局关于开展</w:t>
      </w:r>
      <w:r>
        <w:rPr>
          <w:rFonts w:hint="eastAsia" w:ascii="仿宋_GB2312" w:eastAsia="仿宋_GB2312"/>
          <w:sz w:val="32"/>
          <w:szCs w:val="32"/>
        </w:rPr>
        <w:t>2021年</w:t>
      </w:r>
      <w:r>
        <w:rPr>
          <w:rFonts w:ascii="仿宋_GB2312" w:eastAsia="仿宋_GB2312"/>
          <w:sz w:val="32"/>
          <w:szCs w:val="32"/>
        </w:rPr>
        <w:t>度绩效评价工作的通知》</w:t>
      </w:r>
      <w:r>
        <w:rPr>
          <w:rFonts w:hint="eastAsia" w:ascii="仿宋_GB2312" w:eastAsia="仿宋_GB2312"/>
          <w:sz w:val="32"/>
          <w:szCs w:val="32"/>
        </w:rPr>
        <w:t>（攀财</w:t>
      </w:r>
      <w:r>
        <w:rPr>
          <w:rFonts w:ascii="仿宋_GB2312" w:eastAsia="仿宋_GB2312"/>
          <w:sz w:val="32"/>
          <w:szCs w:val="32"/>
        </w:rPr>
        <w:t>绩</w:t>
      </w:r>
      <w:r>
        <w:rPr>
          <w:rFonts w:hint="eastAsia" w:ascii="仿宋_GB2312" w:eastAsia="仿宋_GB2312"/>
          <w:sz w:val="32"/>
          <w:szCs w:val="32"/>
        </w:rPr>
        <w:t>〔20</w:t>
      </w:r>
      <w:r>
        <w:rPr>
          <w:rFonts w:ascii="仿宋_GB2312" w:eastAsia="仿宋_GB2312"/>
          <w:sz w:val="32"/>
          <w:szCs w:val="32"/>
        </w:rPr>
        <w:t>22</w:t>
      </w:r>
      <w:r>
        <w:rPr>
          <w:rFonts w:hint="eastAsia" w:ascii="仿宋_GB2312" w:eastAsia="仿宋_GB2312"/>
          <w:sz w:val="32"/>
          <w:szCs w:val="32"/>
        </w:rPr>
        <w:t>〕</w:t>
      </w:r>
      <w:r>
        <w:rPr>
          <w:rFonts w:ascii="仿宋_GB2312" w:eastAsia="仿宋_GB2312"/>
          <w:sz w:val="32"/>
          <w:szCs w:val="32"/>
        </w:rPr>
        <w:t>4</w:t>
      </w:r>
      <w:r>
        <w:rPr>
          <w:rFonts w:hint="eastAsia" w:ascii="仿宋_GB2312" w:eastAsia="仿宋_GB2312"/>
          <w:sz w:val="32"/>
          <w:szCs w:val="32"/>
        </w:rPr>
        <w:t>号</w:t>
      </w:r>
      <w:r>
        <w:rPr>
          <w:rFonts w:ascii="仿宋_GB2312" w:eastAsia="仿宋_GB2312"/>
          <w:sz w:val="32"/>
          <w:szCs w:val="32"/>
        </w:rPr>
        <w:t>）</w:t>
      </w:r>
      <w:r>
        <w:rPr>
          <w:rFonts w:ascii="Times New Roman" w:hAnsi="Times New Roman" w:eastAsia="仿宋_GB2312"/>
          <w:sz w:val="32"/>
          <w:szCs w:val="32"/>
        </w:rPr>
        <w:t>相关要求，组织县（区）及单位于2022年6月15日前完成自评，并向评价组提交项目支出绩效自评表和自评报告。</w:t>
      </w:r>
    </w:p>
    <w:p w14:paraId="662F7EF1">
      <w:pPr>
        <w:autoSpaceDE w:val="0"/>
        <w:autoSpaceDN w:val="0"/>
        <w:adjustRightInd w:val="0"/>
        <w:spacing w:line="600" w:lineRule="exact"/>
        <w:ind w:firstLine="640" w:firstLineChars="200"/>
        <w:rPr>
          <w:rFonts w:ascii="Times New Roman" w:hAnsi="Times New Roman" w:eastAsia="仿宋_GB2312"/>
          <w:sz w:val="32"/>
          <w:szCs w:val="32"/>
        </w:rPr>
      </w:pPr>
      <w:r>
        <w:rPr>
          <w:rFonts w:ascii="仿宋_GB2312" w:eastAsia="仿宋_GB2312"/>
          <w:sz w:val="32"/>
          <w:szCs w:val="32"/>
        </w:rPr>
        <w:t>2.做好评价前期准备。</w:t>
      </w:r>
      <w:r>
        <w:rPr>
          <w:rFonts w:ascii="Times New Roman" w:hAnsi="Times New Roman" w:eastAsia="仿宋_GB2312"/>
          <w:sz w:val="32"/>
          <w:szCs w:val="32"/>
        </w:rPr>
        <w:t>一是收集评价依据，重点收集相关管理制度、资金文件、绩效目标、工作要求、实施方案等；二是制定评价工作方案，围绕项目决策、项目管理和项目绩效设置评价指标体系，明确评价依据，落实评价工作人员，确定评价流程、评价方法。</w:t>
      </w:r>
    </w:p>
    <w:p w14:paraId="3CA6DC27">
      <w:pPr>
        <w:autoSpaceDE w:val="0"/>
        <w:autoSpaceDN w:val="0"/>
        <w:adjustRightInd w:val="0"/>
        <w:spacing w:line="600" w:lineRule="exact"/>
        <w:ind w:firstLine="640" w:firstLineChars="200"/>
        <w:rPr>
          <w:rFonts w:ascii="Times New Roman" w:hAnsi="Times New Roman" w:eastAsia="仿宋_GB2312"/>
          <w:sz w:val="32"/>
          <w:szCs w:val="32"/>
        </w:rPr>
      </w:pPr>
      <w:r>
        <w:rPr>
          <w:rFonts w:ascii="仿宋_GB2312" w:eastAsia="仿宋_GB2312"/>
          <w:sz w:val="32"/>
          <w:szCs w:val="32"/>
        </w:rPr>
        <w:t>3.开展现场绩效评价。</w:t>
      </w:r>
      <w:r>
        <w:rPr>
          <w:rFonts w:ascii="Times New Roman" w:hAnsi="Times New Roman" w:eastAsia="仿宋_GB2312"/>
          <w:sz w:val="32"/>
          <w:szCs w:val="32"/>
        </w:rPr>
        <w:t>在县（区）、单位自评的基础上</w:t>
      </w:r>
      <w:r>
        <w:rPr>
          <w:rFonts w:hint="eastAsia" w:ascii="Times New Roman" w:hAnsi="Times New Roman" w:eastAsia="仿宋_GB2312"/>
          <w:sz w:val="32"/>
          <w:szCs w:val="32"/>
        </w:rPr>
        <w:t>，</w:t>
      </w:r>
      <w:r>
        <w:rPr>
          <w:rFonts w:ascii="Times New Roman" w:hAnsi="Times New Roman" w:eastAsia="仿宋_GB2312"/>
          <w:sz w:val="32"/>
          <w:szCs w:val="32"/>
        </w:rPr>
        <w:t>教科文科和绩效科组成市级评价组，于2022年7月</w:t>
      </w:r>
      <w:r>
        <w:rPr>
          <w:rFonts w:hint="eastAsia" w:ascii="Times New Roman" w:hAnsi="Times New Roman" w:eastAsia="仿宋_GB2312"/>
          <w:sz w:val="32"/>
          <w:szCs w:val="32"/>
        </w:rPr>
        <w:t>5日</w:t>
      </w:r>
      <w:r>
        <w:rPr>
          <w:rFonts w:ascii="Times New Roman" w:hAnsi="Times New Roman" w:eastAsia="仿宋_GB2312"/>
          <w:sz w:val="32"/>
          <w:szCs w:val="32"/>
        </w:rPr>
        <w:t>，通过听取汇报、查阅资料、现场查看和走访调查的方式对</w:t>
      </w:r>
      <w:r>
        <w:rPr>
          <w:rFonts w:ascii="Times New Roman" w:hAnsi="仿宋_GB2312" w:eastAsia="仿宋_GB2312"/>
          <w:kern w:val="0"/>
          <w:sz w:val="32"/>
          <w:szCs w:val="32"/>
        </w:rPr>
        <w:t>市文广旅局</w:t>
      </w:r>
      <w:r>
        <w:rPr>
          <w:rFonts w:ascii="Times New Roman" w:hAnsi="Times New Roman" w:eastAsia="仿宋_GB2312"/>
          <w:sz w:val="32"/>
          <w:szCs w:val="32"/>
        </w:rPr>
        <w:t>、</w:t>
      </w:r>
      <w:r>
        <w:rPr>
          <w:rFonts w:hint="eastAsia" w:ascii="Times New Roman" w:hAnsi="仿宋_GB2312" w:eastAsia="仿宋_GB2312"/>
          <w:kern w:val="0"/>
          <w:sz w:val="32"/>
          <w:szCs w:val="32"/>
        </w:rPr>
        <w:t>盐边县文广旅局</w:t>
      </w:r>
      <w:r>
        <w:rPr>
          <w:rFonts w:ascii="Times New Roman" w:hAnsi="Times New Roman" w:eastAsia="仿宋_GB2312"/>
          <w:sz w:val="32"/>
          <w:szCs w:val="32"/>
        </w:rPr>
        <w:t>、</w:t>
      </w:r>
      <w:r>
        <w:rPr>
          <w:rFonts w:hint="eastAsia" w:ascii="Times New Roman" w:hAnsi="仿宋_GB2312" w:eastAsia="仿宋_GB2312"/>
          <w:kern w:val="0"/>
          <w:sz w:val="32"/>
          <w:szCs w:val="32"/>
        </w:rPr>
        <w:t>市</w:t>
      </w:r>
      <w:r>
        <w:rPr>
          <w:rFonts w:ascii="Times New Roman" w:hAnsi="仿宋_GB2312" w:eastAsia="仿宋_GB2312"/>
          <w:kern w:val="0"/>
          <w:sz w:val="32"/>
          <w:szCs w:val="32"/>
        </w:rPr>
        <w:t>文化馆</w:t>
      </w:r>
      <w:r>
        <w:rPr>
          <w:rFonts w:hint="eastAsia" w:ascii="Times New Roman" w:hAnsi="仿宋_GB2312" w:eastAsia="仿宋_GB2312"/>
          <w:kern w:val="0"/>
          <w:sz w:val="32"/>
          <w:szCs w:val="32"/>
        </w:rPr>
        <w:t>、</w:t>
      </w:r>
      <w:r>
        <w:rPr>
          <w:rFonts w:hint="eastAsia" w:ascii="Times New Roman" w:hAnsi="Times New Roman" w:eastAsia="仿宋_GB2312"/>
          <w:sz w:val="32"/>
          <w:szCs w:val="32"/>
        </w:rPr>
        <w:t>市广播电视台</w:t>
      </w:r>
      <w:r>
        <w:rPr>
          <w:rFonts w:ascii="Times New Roman" w:hAnsi="Times New Roman" w:eastAsia="仿宋_GB2312"/>
          <w:sz w:val="32"/>
          <w:szCs w:val="32"/>
        </w:rPr>
        <w:t>开展现场重点评价。</w:t>
      </w:r>
    </w:p>
    <w:p w14:paraId="61323C64">
      <w:pPr>
        <w:autoSpaceDE w:val="0"/>
        <w:autoSpaceDN w:val="0"/>
        <w:adjustRightInd w:val="0"/>
        <w:spacing w:line="600" w:lineRule="exact"/>
        <w:ind w:firstLine="640" w:firstLineChars="200"/>
        <w:rPr>
          <w:rFonts w:ascii="Times New Roman" w:hAnsi="Times New Roman" w:eastAsia="仿宋_GB2312"/>
          <w:sz w:val="32"/>
          <w:szCs w:val="32"/>
        </w:rPr>
      </w:pPr>
      <w:r>
        <w:rPr>
          <w:rFonts w:ascii="仿宋_GB2312" w:eastAsia="仿宋_GB2312"/>
          <w:sz w:val="32"/>
          <w:szCs w:val="32"/>
        </w:rPr>
        <w:t>4.形成绩效评价报告。</w:t>
      </w:r>
      <w:r>
        <w:rPr>
          <w:rFonts w:ascii="Times New Roman" w:hAnsi="Times New Roman" w:eastAsia="仿宋_GB2312"/>
          <w:sz w:val="32"/>
          <w:szCs w:val="32"/>
        </w:rPr>
        <w:t>依据现场评价工作记录和采集的佐证资料，形成</w:t>
      </w:r>
      <w:r>
        <w:rPr>
          <w:rFonts w:hint="eastAsia" w:ascii="Times New Roman" w:hAnsi="Times New Roman" w:eastAsia="仿宋_GB2312"/>
          <w:sz w:val="32"/>
          <w:szCs w:val="32"/>
        </w:rPr>
        <w:t>了</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项目</w:t>
      </w:r>
      <w:r>
        <w:rPr>
          <w:rFonts w:ascii="Times New Roman" w:hAnsi="Times New Roman" w:eastAsia="仿宋_GB2312"/>
          <w:sz w:val="32"/>
          <w:szCs w:val="32"/>
        </w:rPr>
        <w:t>支出绩效评价报告。</w:t>
      </w:r>
    </w:p>
    <w:p w14:paraId="4F6DACF4">
      <w:pPr>
        <w:autoSpaceDE w:val="0"/>
        <w:autoSpaceDN w:val="0"/>
        <w:adjustRightInd w:val="0"/>
        <w:spacing w:line="600" w:lineRule="exact"/>
        <w:ind w:firstLine="640" w:firstLineChars="200"/>
        <w:rPr>
          <w:rFonts w:ascii="Times New Roman" w:hAnsi="Times New Roman" w:eastAsia="黑体"/>
          <w:kern w:val="0"/>
          <w:sz w:val="32"/>
          <w:szCs w:val="32"/>
        </w:rPr>
      </w:pPr>
      <w:r>
        <w:rPr>
          <w:rFonts w:ascii="Times New Roman" w:hAnsi="Times New Roman" w:eastAsia="黑体"/>
          <w:kern w:val="0"/>
          <w:sz w:val="32"/>
          <w:szCs w:val="32"/>
        </w:rPr>
        <w:t>二、项目资金申报及使用情况</w:t>
      </w:r>
    </w:p>
    <w:p w14:paraId="0DB40EC4">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（一）项目资金申报及批复情况。</w:t>
      </w:r>
    </w:p>
    <w:p w14:paraId="17C9F450">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hint="eastAsia" w:ascii="Times New Roman" w:hAnsi="Times New Roman" w:eastAsia="仿宋_GB2312"/>
          <w:color w:val="000000" w:themeColor="text1"/>
          <w:kern w:val="0"/>
          <w:sz w:val="32"/>
          <w:szCs w:val="32"/>
        </w:rPr>
        <w:t>第十一届攀枝花欢乐阳光节活动经费筹集采取市财政补助、盐边县政府自筹的方式共同解决，</w:t>
      </w:r>
      <w:r>
        <w:rPr>
          <w:rFonts w:ascii="Times New Roman" w:hAnsi="Times New Roman" w:eastAsia="仿宋_GB2312"/>
          <w:color w:val="000000" w:themeColor="text1"/>
          <w:kern w:val="0"/>
          <w:sz w:val="32"/>
          <w:szCs w:val="32"/>
        </w:rPr>
        <w:t>市财政局根据《攀枝花市文化广播电视和旅游局关于</w:t>
      </w:r>
      <w:r>
        <w:rPr>
          <w:rFonts w:hint="eastAsia" w:ascii="Times New Roman" w:hAnsi="Times New Roman" w:eastAsia="仿宋_GB2312"/>
          <w:color w:val="000000" w:themeColor="text1"/>
          <w:kern w:val="0"/>
          <w:sz w:val="32"/>
          <w:szCs w:val="32"/>
        </w:rPr>
        <w:t>提请审定&lt;第十一届攀枝花欢乐阳光节开幕式方案（送审稿）&gt;的请示</w:t>
      </w:r>
      <w:r>
        <w:rPr>
          <w:rFonts w:ascii="Times New Roman" w:hAnsi="Times New Roman" w:eastAsia="仿宋_GB2312"/>
          <w:color w:val="000000" w:themeColor="text1"/>
          <w:kern w:val="0"/>
          <w:sz w:val="32"/>
          <w:szCs w:val="32"/>
        </w:rPr>
        <w:t>》文件及市领导批示精神，</w:t>
      </w:r>
      <w:r>
        <w:rPr>
          <w:rFonts w:ascii="Times New Roman" w:hAnsi="Times New Roman" w:eastAsia="仿宋_GB2312"/>
          <w:kern w:val="0"/>
          <w:sz w:val="32"/>
          <w:szCs w:val="32"/>
        </w:rPr>
        <w:t>安排</w:t>
      </w:r>
      <w:r>
        <w:rPr>
          <w:rFonts w:hint="eastAsia" w:ascii="Times New Roman" w:hAnsi="Times New Roman" w:eastAsia="仿宋_GB2312"/>
          <w:kern w:val="0"/>
          <w:sz w:val="32"/>
          <w:szCs w:val="32"/>
        </w:rPr>
        <w:t>经费</w:t>
      </w:r>
      <w:r>
        <w:rPr>
          <w:rFonts w:ascii="Times New Roman" w:hAnsi="Times New Roman" w:eastAsia="仿宋_GB2312"/>
          <w:kern w:val="0"/>
          <w:sz w:val="32"/>
          <w:szCs w:val="32"/>
        </w:rPr>
        <w:t>预算</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万元。</w:t>
      </w:r>
    </w:p>
    <w:p w14:paraId="4E19CE72">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（二）资金计划、到位及使用情况。</w:t>
      </w:r>
    </w:p>
    <w:p w14:paraId="34609B2C">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1．资金计划。</w:t>
      </w:r>
    </w:p>
    <w:p w14:paraId="1E957241">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color w:val="000000" w:themeColor="text1"/>
          <w:kern w:val="0"/>
          <w:sz w:val="32"/>
          <w:szCs w:val="32"/>
        </w:rPr>
        <w:t>根据《</w:t>
      </w:r>
      <w:r>
        <w:rPr>
          <w:rFonts w:hint="eastAsia" w:ascii="Times New Roman" w:hAnsi="Times New Roman" w:eastAsia="仿宋_GB2312"/>
          <w:color w:val="000000" w:themeColor="text1"/>
          <w:kern w:val="0"/>
          <w:sz w:val="32"/>
          <w:szCs w:val="32"/>
        </w:rPr>
        <w:t>攀枝花市文化广播电视和旅游局关于商请拨付第十一届攀枝花欢乐阳光节开幕式专项经费的函</w:t>
      </w:r>
      <w:r>
        <w:rPr>
          <w:rFonts w:ascii="Times New Roman" w:hAnsi="Times New Roman" w:eastAsia="仿宋_GB2312"/>
          <w:color w:val="000000" w:themeColor="text1"/>
          <w:kern w:val="0"/>
          <w:sz w:val="32"/>
          <w:szCs w:val="32"/>
        </w:rPr>
        <w:t>》（攀文广旅函〔20</w:t>
      </w:r>
      <w:r>
        <w:rPr>
          <w:rFonts w:hint="eastAsia" w:ascii="Times New Roman" w:hAnsi="Times New Roman" w:eastAsia="仿宋_GB2312"/>
          <w:color w:val="000000" w:themeColor="text1"/>
          <w:kern w:val="0"/>
          <w:sz w:val="32"/>
          <w:szCs w:val="32"/>
        </w:rPr>
        <w:t>21</w:t>
      </w:r>
      <w:r>
        <w:rPr>
          <w:rFonts w:ascii="Times New Roman" w:hAnsi="Times New Roman" w:eastAsia="仿宋_GB2312"/>
          <w:color w:val="000000" w:themeColor="text1"/>
          <w:kern w:val="0"/>
          <w:sz w:val="32"/>
          <w:szCs w:val="32"/>
        </w:rPr>
        <w:t>〕112号）</w:t>
      </w:r>
      <w:r>
        <w:rPr>
          <w:rFonts w:ascii="Times New Roman" w:hAnsi="Times New Roman" w:eastAsia="仿宋_GB2312"/>
          <w:kern w:val="0"/>
          <w:sz w:val="32"/>
          <w:szCs w:val="32"/>
        </w:rPr>
        <w:t>以及《</w:t>
      </w:r>
      <w:r>
        <w:rPr>
          <w:rFonts w:hint="eastAsia" w:ascii="Times New Roman" w:hAnsi="Times New Roman" w:eastAsia="仿宋_GB2312"/>
          <w:kern w:val="0"/>
          <w:sz w:val="32"/>
          <w:szCs w:val="32"/>
        </w:rPr>
        <w:t>攀枝花市财政局关于下达第十一届欢乐阳光节专项经费的通知</w:t>
      </w:r>
      <w:r>
        <w:rPr>
          <w:rFonts w:ascii="Times New Roman" w:hAnsi="Times New Roman" w:eastAsia="仿宋_GB2312"/>
          <w:kern w:val="0"/>
          <w:sz w:val="32"/>
          <w:szCs w:val="32"/>
        </w:rPr>
        <w:t>》（攀财</w:t>
      </w:r>
      <w:r>
        <w:rPr>
          <w:rFonts w:hint="eastAsia" w:ascii="Times New Roman" w:hAnsi="Times New Roman" w:eastAsia="仿宋_GB2312"/>
          <w:kern w:val="0"/>
          <w:sz w:val="32"/>
          <w:szCs w:val="32"/>
        </w:rPr>
        <w:t>资教</w:t>
      </w:r>
      <w:r>
        <w:rPr>
          <w:rFonts w:ascii="Times New Roman" w:hAnsi="Times New Roman" w:eastAsia="仿宋_GB2312"/>
          <w:kern w:val="0"/>
          <w:sz w:val="32"/>
          <w:szCs w:val="32"/>
        </w:rPr>
        <w:t>〔20</w:t>
      </w:r>
      <w:r>
        <w:rPr>
          <w:rFonts w:hint="eastAsia" w:ascii="Times New Roman" w:hAnsi="Times New Roman" w:eastAsia="仿宋_GB2312"/>
          <w:kern w:val="0"/>
          <w:sz w:val="32"/>
          <w:szCs w:val="32"/>
        </w:rPr>
        <w:t>21</w:t>
      </w:r>
      <w:r>
        <w:rPr>
          <w:rFonts w:ascii="Times New Roman" w:hAnsi="Times New Roman" w:eastAsia="仿宋_GB2312"/>
          <w:kern w:val="0"/>
          <w:sz w:val="32"/>
          <w:szCs w:val="32"/>
        </w:rPr>
        <w:t>〕</w:t>
      </w:r>
      <w:r>
        <w:rPr>
          <w:rFonts w:hint="eastAsia" w:ascii="Times New Roman" w:hAnsi="Times New Roman" w:eastAsia="仿宋_GB2312"/>
          <w:kern w:val="0"/>
          <w:sz w:val="32"/>
          <w:szCs w:val="32"/>
        </w:rPr>
        <w:t>42</w:t>
      </w:r>
      <w:r>
        <w:rPr>
          <w:rFonts w:ascii="Times New Roman" w:hAnsi="Times New Roman" w:eastAsia="仿宋_GB2312"/>
          <w:kern w:val="0"/>
          <w:sz w:val="32"/>
          <w:szCs w:val="32"/>
        </w:rPr>
        <w:t>号）文件精神，</w:t>
      </w:r>
      <w:r>
        <w:rPr>
          <w:rFonts w:hint="eastAsia" w:ascii="Times New Roman" w:hAnsi="Times New Roman" w:eastAsia="仿宋_GB2312"/>
          <w:kern w:val="0"/>
          <w:sz w:val="32"/>
          <w:szCs w:val="32"/>
        </w:rPr>
        <w:t>市财政</w:t>
      </w:r>
      <w:r>
        <w:rPr>
          <w:rFonts w:ascii="Times New Roman" w:hAnsi="Times New Roman" w:eastAsia="仿宋_GB2312"/>
          <w:kern w:val="0"/>
          <w:sz w:val="32"/>
          <w:szCs w:val="32"/>
        </w:rPr>
        <w:t>下达20</w:t>
      </w:r>
      <w:r>
        <w:rPr>
          <w:rFonts w:hint="eastAsia" w:ascii="Times New Roman" w:hAnsi="Times New Roman" w:eastAsia="仿宋_GB2312"/>
          <w:kern w:val="0"/>
          <w:sz w:val="32"/>
          <w:szCs w:val="32"/>
        </w:rPr>
        <w:t>20</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第十一届欢乐阳光节</w:t>
      </w:r>
      <w:r>
        <w:rPr>
          <w:rFonts w:ascii="Times New Roman" w:hAnsi="Times New Roman" w:eastAsia="仿宋_GB2312"/>
          <w:kern w:val="0"/>
          <w:sz w:val="32"/>
          <w:szCs w:val="32"/>
        </w:rPr>
        <w:t>经费预算</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万元，具体如下：</w:t>
      </w:r>
    </w:p>
    <w:p w14:paraId="62391CE3">
      <w:pPr>
        <w:autoSpaceDE w:val="0"/>
        <w:autoSpaceDN w:val="0"/>
        <w:adjustRightInd w:val="0"/>
        <w:spacing w:line="600" w:lineRule="exact"/>
        <w:rPr>
          <w:rFonts w:ascii="Times New Roman" w:hAnsi="Times New Roman" w:eastAsia="仿宋_GB2312"/>
          <w:b/>
          <w:kern w:val="0"/>
          <w:sz w:val="32"/>
          <w:szCs w:val="32"/>
        </w:rPr>
      </w:pPr>
    </w:p>
    <w:p w14:paraId="54EF7832">
      <w:pPr>
        <w:autoSpaceDE w:val="0"/>
        <w:autoSpaceDN w:val="0"/>
        <w:adjustRightInd w:val="0"/>
        <w:spacing w:line="600" w:lineRule="exact"/>
        <w:jc w:val="center"/>
        <w:rPr>
          <w:rFonts w:ascii="Times New Roman" w:hAnsi="Times New Roman" w:eastAsia="仿宋_GB2312"/>
          <w:b/>
          <w:kern w:val="0"/>
          <w:sz w:val="32"/>
          <w:szCs w:val="32"/>
        </w:rPr>
      </w:pPr>
      <w:r>
        <w:rPr>
          <w:rFonts w:ascii="Times New Roman" w:hAnsi="Times New Roman" w:eastAsia="仿宋_GB2312"/>
          <w:b/>
          <w:kern w:val="0"/>
          <w:sz w:val="32"/>
          <w:szCs w:val="32"/>
        </w:rPr>
        <w:t>20</w:t>
      </w:r>
      <w:r>
        <w:rPr>
          <w:rFonts w:hint="eastAsia" w:ascii="Times New Roman" w:hAnsi="Times New Roman" w:eastAsia="仿宋_GB2312"/>
          <w:b/>
          <w:kern w:val="0"/>
          <w:sz w:val="32"/>
          <w:szCs w:val="32"/>
        </w:rPr>
        <w:t>20</w:t>
      </w:r>
      <w:r>
        <w:rPr>
          <w:rFonts w:ascii="Times New Roman" w:hAnsi="Times New Roman" w:eastAsia="仿宋_GB2312"/>
          <w:b/>
          <w:kern w:val="0"/>
          <w:sz w:val="32"/>
          <w:szCs w:val="32"/>
        </w:rPr>
        <w:t>年</w:t>
      </w:r>
      <w:r>
        <w:rPr>
          <w:rFonts w:hint="eastAsia" w:ascii="Times New Roman" w:hAnsi="Times New Roman" w:eastAsia="仿宋_GB2312"/>
          <w:b/>
          <w:kern w:val="0"/>
          <w:sz w:val="32"/>
          <w:szCs w:val="32"/>
        </w:rPr>
        <w:t>第十一届欢乐阳光节</w:t>
      </w:r>
      <w:r>
        <w:rPr>
          <w:rFonts w:ascii="Times New Roman" w:hAnsi="Times New Roman" w:eastAsia="仿宋_GB2312"/>
          <w:b/>
          <w:kern w:val="0"/>
          <w:sz w:val="32"/>
          <w:szCs w:val="32"/>
        </w:rPr>
        <w:t>经费预算</w:t>
      </w:r>
    </w:p>
    <w:p w14:paraId="7B56C686">
      <w:pPr>
        <w:autoSpaceDE w:val="0"/>
        <w:autoSpaceDN w:val="0"/>
        <w:adjustRightInd w:val="0"/>
        <w:spacing w:line="600" w:lineRule="exact"/>
        <w:rPr>
          <w:rFonts w:ascii="Times New Roman" w:hAnsi="Times New Roman" w:eastAsia="仿宋_GB2312"/>
          <w:kern w:val="0"/>
          <w:sz w:val="30"/>
          <w:szCs w:val="30"/>
        </w:rPr>
      </w:pPr>
      <w:r>
        <w:rPr>
          <w:rFonts w:ascii="Times New Roman" w:hAnsi="Times New Roman" w:eastAsia="仿宋_GB2312"/>
          <w:kern w:val="0"/>
          <w:sz w:val="30"/>
          <w:szCs w:val="30"/>
        </w:rPr>
        <w:t>单位：万元</w:t>
      </w:r>
    </w:p>
    <w:tbl>
      <w:tblPr>
        <w:tblStyle w:val="5"/>
        <w:tblW w:w="9240" w:type="dxa"/>
        <w:tblInd w:w="93" w:type="dxa"/>
        <w:tblLayout w:type="autofit"/>
        <w:tblCellMar>
          <w:top w:w="0" w:type="dxa"/>
          <w:left w:w="108" w:type="dxa"/>
          <w:bottom w:w="0" w:type="dxa"/>
          <w:right w:w="108" w:type="dxa"/>
        </w:tblCellMar>
      </w:tblPr>
      <w:tblGrid>
        <w:gridCol w:w="2142"/>
        <w:gridCol w:w="1134"/>
        <w:gridCol w:w="3969"/>
        <w:gridCol w:w="1995"/>
      </w:tblGrid>
      <w:tr w14:paraId="19A40491">
        <w:tblPrEx>
          <w:tblCellMar>
            <w:top w:w="0" w:type="dxa"/>
            <w:left w:w="108" w:type="dxa"/>
            <w:bottom w:w="0" w:type="dxa"/>
            <w:right w:w="108" w:type="dxa"/>
          </w:tblCellMar>
        </w:tblPrEx>
        <w:trPr>
          <w:trHeight w:val="447" w:hRule="atLeast"/>
        </w:trPr>
        <w:tc>
          <w:tcPr>
            <w:tcW w:w="214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BD253E8">
            <w:pPr>
              <w:widowControl/>
              <w:spacing w:line="600" w:lineRule="exact"/>
              <w:rPr>
                <w:rFonts w:ascii="Times New Roman" w:hAnsi="Times New Roman"/>
                <w:color w:val="000000"/>
                <w:kern w:val="0"/>
                <w:sz w:val="24"/>
                <w:szCs w:val="24"/>
              </w:rPr>
            </w:pPr>
            <w:r>
              <w:rPr>
                <w:rFonts w:hint="eastAsia" w:ascii="Times New Roman" w:hAnsi="宋体"/>
                <w:color w:val="000000"/>
                <w:kern w:val="0"/>
                <w:sz w:val="24"/>
                <w:szCs w:val="24"/>
              </w:rPr>
              <w:t>拨付</w:t>
            </w:r>
            <w:r>
              <w:rPr>
                <w:rFonts w:ascii="Times New Roman" w:hAnsi="宋体"/>
                <w:color w:val="000000"/>
                <w:kern w:val="0"/>
                <w:sz w:val="24"/>
                <w:szCs w:val="24"/>
              </w:rPr>
              <w:t>单位</w:t>
            </w:r>
          </w:p>
        </w:tc>
        <w:tc>
          <w:tcPr>
            <w:tcW w:w="1134" w:type="dxa"/>
            <w:tcBorders>
              <w:top w:val="single" w:color="auto" w:sz="4" w:space="0"/>
              <w:left w:val="nil"/>
              <w:bottom w:val="single" w:color="auto" w:sz="4" w:space="0"/>
              <w:right w:val="single" w:color="auto" w:sz="4" w:space="0"/>
            </w:tcBorders>
            <w:shd w:val="clear" w:color="auto" w:fill="auto"/>
            <w:noWrap/>
            <w:vAlign w:val="center"/>
          </w:tcPr>
          <w:p w14:paraId="5D398CFD">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金额</w:t>
            </w:r>
          </w:p>
        </w:tc>
        <w:tc>
          <w:tcPr>
            <w:tcW w:w="3969" w:type="dxa"/>
            <w:tcBorders>
              <w:top w:val="single" w:color="auto" w:sz="4" w:space="0"/>
              <w:left w:val="nil"/>
              <w:bottom w:val="single" w:color="auto" w:sz="4" w:space="0"/>
              <w:right w:val="single" w:color="auto" w:sz="4" w:space="0"/>
            </w:tcBorders>
            <w:shd w:val="clear" w:color="auto" w:fill="auto"/>
            <w:noWrap/>
            <w:vAlign w:val="center"/>
          </w:tcPr>
          <w:p w14:paraId="39DF300B">
            <w:pPr>
              <w:widowControl/>
              <w:spacing w:line="600" w:lineRule="exact"/>
              <w:ind w:firstLine="1320" w:firstLineChars="550"/>
              <w:rPr>
                <w:rFonts w:ascii="Times New Roman" w:hAnsi="Times New Roman"/>
                <w:color w:val="000000"/>
                <w:kern w:val="0"/>
                <w:sz w:val="24"/>
                <w:szCs w:val="24"/>
              </w:rPr>
            </w:pPr>
            <w:r>
              <w:rPr>
                <w:rFonts w:hint="eastAsia" w:ascii="Times New Roman" w:hAnsi="宋体"/>
                <w:color w:val="000000"/>
                <w:kern w:val="0"/>
                <w:sz w:val="24"/>
                <w:szCs w:val="24"/>
              </w:rPr>
              <w:t>资金用途</w:t>
            </w:r>
          </w:p>
        </w:tc>
        <w:tc>
          <w:tcPr>
            <w:tcW w:w="1995" w:type="dxa"/>
            <w:tcBorders>
              <w:top w:val="single" w:color="auto" w:sz="4" w:space="0"/>
              <w:left w:val="nil"/>
              <w:bottom w:val="single" w:color="auto" w:sz="4" w:space="0"/>
              <w:right w:val="single" w:color="auto" w:sz="4" w:space="0"/>
            </w:tcBorders>
            <w:shd w:val="clear" w:color="auto" w:fill="auto"/>
            <w:noWrap/>
            <w:vAlign w:val="center"/>
          </w:tcPr>
          <w:p w14:paraId="6E378B42">
            <w:pPr>
              <w:widowControl/>
              <w:spacing w:line="600" w:lineRule="exact"/>
              <w:rPr>
                <w:rFonts w:ascii="Times New Roman" w:hAnsi="Times New Roman"/>
                <w:color w:val="000000"/>
                <w:kern w:val="0"/>
                <w:sz w:val="24"/>
                <w:szCs w:val="24"/>
              </w:rPr>
            </w:pPr>
            <w:r>
              <w:rPr>
                <w:rFonts w:hint="eastAsia" w:ascii="Times New Roman" w:hAnsi="宋体"/>
                <w:color w:val="000000"/>
                <w:kern w:val="0"/>
                <w:sz w:val="24"/>
                <w:szCs w:val="24"/>
              </w:rPr>
              <w:t>资金文号</w:t>
            </w:r>
          </w:p>
        </w:tc>
      </w:tr>
      <w:tr w14:paraId="10967533">
        <w:tblPrEx>
          <w:tblCellMar>
            <w:top w:w="0" w:type="dxa"/>
            <w:left w:w="108" w:type="dxa"/>
            <w:bottom w:w="0" w:type="dxa"/>
            <w:right w:w="108" w:type="dxa"/>
          </w:tblCellMar>
        </w:tblPrEx>
        <w:trPr>
          <w:trHeight w:val="850" w:hRule="atLeast"/>
        </w:trPr>
        <w:tc>
          <w:tcPr>
            <w:tcW w:w="2142" w:type="dxa"/>
            <w:tcBorders>
              <w:top w:val="nil"/>
              <w:left w:val="single" w:color="auto" w:sz="4" w:space="0"/>
              <w:bottom w:val="single" w:color="auto" w:sz="4" w:space="0"/>
              <w:right w:val="single" w:color="auto" w:sz="4" w:space="0"/>
            </w:tcBorders>
            <w:shd w:val="clear" w:color="auto" w:fill="auto"/>
            <w:vAlign w:val="center"/>
          </w:tcPr>
          <w:p w14:paraId="510A610D">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市文广旅局</w:t>
            </w:r>
          </w:p>
        </w:tc>
        <w:tc>
          <w:tcPr>
            <w:tcW w:w="1134" w:type="dxa"/>
            <w:tcBorders>
              <w:top w:val="nil"/>
              <w:left w:val="nil"/>
              <w:bottom w:val="single" w:color="auto" w:sz="4" w:space="0"/>
              <w:right w:val="single" w:color="auto" w:sz="4" w:space="0"/>
            </w:tcBorders>
            <w:shd w:val="clear" w:color="auto" w:fill="auto"/>
            <w:noWrap/>
            <w:vAlign w:val="center"/>
          </w:tcPr>
          <w:p w14:paraId="7D039344">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14</w:t>
            </w:r>
          </w:p>
        </w:tc>
        <w:tc>
          <w:tcPr>
            <w:tcW w:w="3969" w:type="dxa"/>
            <w:tcBorders>
              <w:top w:val="nil"/>
              <w:left w:val="nil"/>
              <w:bottom w:val="single" w:color="auto" w:sz="4" w:space="0"/>
              <w:right w:val="single" w:color="auto" w:sz="4" w:space="0"/>
            </w:tcBorders>
            <w:shd w:val="clear" w:color="auto" w:fill="auto"/>
            <w:vAlign w:val="center"/>
          </w:tcPr>
          <w:p w14:paraId="34AA84D1">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攀枝花市第十一届欢乐阳光节组织会务、宣传等工作</w:t>
            </w:r>
          </w:p>
        </w:tc>
        <w:tc>
          <w:tcPr>
            <w:tcW w:w="1995" w:type="dxa"/>
            <w:tcBorders>
              <w:top w:val="nil"/>
              <w:left w:val="nil"/>
              <w:bottom w:val="single" w:color="auto" w:sz="4" w:space="0"/>
              <w:right w:val="single" w:color="auto" w:sz="4" w:space="0"/>
            </w:tcBorders>
            <w:shd w:val="clear" w:color="auto" w:fill="auto"/>
            <w:vAlign w:val="center"/>
          </w:tcPr>
          <w:p w14:paraId="39663887">
            <w:pPr>
              <w:widowControl/>
              <w:spacing w:line="600" w:lineRule="exact"/>
              <w:rPr>
                <w:rFonts w:ascii="Times New Roman" w:hAnsi="宋体"/>
                <w:color w:val="000000"/>
                <w:kern w:val="0"/>
                <w:sz w:val="24"/>
                <w:szCs w:val="24"/>
              </w:rPr>
            </w:pPr>
            <w:r>
              <w:rPr>
                <w:rFonts w:ascii="Times New Roman" w:hAnsi="宋体"/>
                <w:color w:val="000000"/>
                <w:kern w:val="0"/>
                <w:sz w:val="24"/>
                <w:szCs w:val="24"/>
              </w:rPr>
              <w:t>攀财资教</w:t>
            </w:r>
          </w:p>
          <w:p w14:paraId="4F784707">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hint="eastAsia" w:ascii="Times New Roman" w:hAnsi="Times New Roman"/>
                <w:color w:val="000000"/>
                <w:kern w:val="0"/>
                <w:sz w:val="24"/>
                <w:szCs w:val="24"/>
              </w:rPr>
              <w:t>21</w:t>
            </w:r>
            <w:r>
              <w:rPr>
                <w:rFonts w:ascii="Times New Roman" w:hAnsi="宋体"/>
                <w:color w:val="000000"/>
                <w:kern w:val="0"/>
                <w:sz w:val="24"/>
                <w:szCs w:val="24"/>
              </w:rPr>
              <w:t>〕</w:t>
            </w:r>
            <w:r>
              <w:rPr>
                <w:rFonts w:hint="eastAsia" w:ascii="Times New Roman" w:hAnsi="宋体"/>
                <w:color w:val="000000"/>
                <w:kern w:val="0"/>
                <w:sz w:val="24"/>
                <w:szCs w:val="24"/>
              </w:rPr>
              <w:t>42</w:t>
            </w:r>
            <w:r>
              <w:rPr>
                <w:rFonts w:ascii="Times New Roman" w:hAnsi="宋体"/>
                <w:color w:val="000000"/>
                <w:kern w:val="0"/>
                <w:sz w:val="24"/>
                <w:szCs w:val="24"/>
              </w:rPr>
              <w:t>号</w:t>
            </w:r>
          </w:p>
        </w:tc>
      </w:tr>
      <w:tr w14:paraId="2C8C95C1">
        <w:tblPrEx>
          <w:tblCellMar>
            <w:top w:w="0" w:type="dxa"/>
            <w:left w:w="108" w:type="dxa"/>
            <w:bottom w:w="0" w:type="dxa"/>
            <w:right w:w="108" w:type="dxa"/>
          </w:tblCellMar>
        </w:tblPrEx>
        <w:trPr>
          <w:trHeight w:val="645" w:hRule="atLeast"/>
        </w:trPr>
        <w:tc>
          <w:tcPr>
            <w:tcW w:w="2142" w:type="dxa"/>
            <w:tcBorders>
              <w:top w:val="nil"/>
              <w:left w:val="single" w:color="auto" w:sz="4" w:space="0"/>
              <w:bottom w:val="single" w:color="auto" w:sz="4" w:space="0"/>
              <w:right w:val="single" w:color="auto" w:sz="4" w:space="0"/>
            </w:tcBorders>
            <w:shd w:val="clear" w:color="auto" w:fill="auto"/>
            <w:vAlign w:val="center"/>
          </w:tcPr>
          <w:p w14:paraId="325A529C">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盐边县文广旅局</w:t>
            </w:r>
          </w:p>
        </w:tc>
        <w:tc>
          <w:tcPr>
            <w:tcW w:w="1134" w:type="dxa"/>
            <w:tcBorders>
              <w:top w:val="nil"/>
              <w:left w:val="nil"/>
              <w:bottom w:val="single" w:color="auto" w:sz="4" w:space="0"/>
              <w:right w:val="single" w:color="auto" w:sz="4" w:space="0"/>
            </w:tcBorders>
            <w:shd w:val="clear" w:color="auto" w:fill="auto"/>
            <w:noWrap/>
            <w:vAlign w:val="center"/>
          </w:tcPr>
          <w:p w14:paraId="4534F569">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60</w:t>
            </w:r>
          </w:p>
        </w:tc>
        <w:tc>
          <w:tcPr>
            <w:tcW w:w="3969" w:type="dxa"/>
            <w:tcBorders>
              <w:top w:val="nil"/>
              <w:left w:val="nil"/>
              <w:bottom w:val="single" w:color="auto" w:sz="4" w:space="0"/>
              <w:right w:val="single" w:color="auto" w:sz="4" w:space="0"/>
            </w:tcBorders>
            <w:shd w:val="clear" w:color="auto" w:fill="auto"/>
            <w:vAlign w:val="center"/>
          </w:tcPr>
          <w:p w14:paraId="78615A1A">
            <w:pPr>
              <w:widowControl/>
              <w:spacing w:line="600" w:lineRule="exact"/>
              <w:rPr>
                <w:rFonts w:ascii="Times New Roman" w:hAnsi="Times New Roman"/>
                <w:color w:val="000000"/>
                <w:kern w:val="0"/>
                <w:sz w:val="24"/>
                <w:szCs w:val="24"/>
              </w:rPr>
            </w:pPr>
            <w:r>
              <w:rPr>
                <w:rFonts w:ascii="Times New Roman" w:hAnsi="Times New Roman"/>
                <w:color w:val="000000"/>
                <w:kern w:val="0"/>
                <w:sz w:val="24"/>
                <w:szCs w:val="24"/>
              </w:rPr>
              <w:t>2020</w:t>
            </w:r>
            <w:r>
              <w:rPr>
                <w:rFonts w:hint="eastAsia" w:ascii="Times New Roman" w:hAnsi="Times New Roman"/>
                <w:color w:val="000000"/>
                <w:kern w:val="0"/>
                <w:sz w:val="24"/>
                <w:szCs w:val="24"/>
              </w:rPr>
              <w:t>年攀枝花市第十一届欢乐阳光节开幕式舞台搭建及文化活动开展</w:t>
            </w:r>
          </w:p>
        </w:tc>
        <w:tc>
          <w:tcPr>
            <w:tcW w:w="1995" w:type="dxa"/>
            <w:tcBorders>
              <w:top w:val="nil"/>
              <w:left w:val="nil"/>
              <w:bottom w:val="single" w:color="auto" w:sz="4" w:space="0"/>
              <w:right w:val="single" w:color="auto" w:sz="4" w:space="0"/>
            </w:tcBorders>
            <w:shd w:val="clear" w:color="auto" w:fill="auto"/>
            <w:vAlign w:val="center"/>
          </w:tcPr>
          <w:p w14:paraId="7F0BC1EF">
            <w:pPr>
              <w:widowControl/>
              <w:spacing w:line="600" w:lineRule="exact"/>
              <w:rPr>
                <w:rFonts w:ascii="Times New Roman" w:hAnsi="宋体"/>
                <w:color w:val="000000"/>
                <w:kern w:val="0"/>
                <w:sz w:val="24"/>
                <w:szCs w:val="24"/>
              </w:rPr>
            </w:pPr>
            <w:r>
              <w:rPr>
                <w:rFonts w:ascii="Times New Roman" w:hAnsi="宋体"/>
                <w:color w:val="000000"/>
                <w:kern w:val="0"/>
                <w:sz w:val="24"/>
                <w:szCs w:val="24"/>
              </w:rPr>
              <w:t>攀财资教</w:t>
            </w:r>
          </w:p>
          <w:p w14:paraId="582747E8">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hint="eastAsia" w:ascii="Times New Roman" w:hAnsi="Times New Roman"/>
                <w:color w:val="000000"/>
                <w:kern w:val="0"/>
                <w:sz w:val="24"/>
                <w:szCs w:val="24"/>
              </w:rPr>
              <w:t>21</w:t>
            </w:r>
            <w:r>
              <w:rPr>
                <w:rFonts w:ascii="Times New Roman" w:hAnsi="宋体"/>
                <w:color w:val="000000"/>
                <w:kern w:val="0"/>
                <w:sz w:val="24"/>
                <w:szCs w:val="24"/>
              </w:rPr>
              <w:t>〕</w:t>
            </w:r>
            <w:r>
              <w:rPr>
                <w:rFonts w:hint="eastAsia" w:ascii="Times New Roman" w:hAnsi="宋体"/>
                <w:color w:val="000000"/>
                <w:kern w:val="0"/>
                <w:sz w:val="24"/>
                <w:szCs w:val="24"/>
              </w:rPr>
              <w:t>42</w:t>
            </w:r>
            <w:r>
              <w:rPr>
                <w:rFonts w:ascii="Times New Roman" w:hAnsi="宋体"/>
                <w:color w:val="000000"/>
                <w:kern w:val="0"/>
                <w:sz w:val="24"/>
                <w:szCs w:val="24"/>
              </w:rPr>
              <w:t>号</w:t>
            </w:r>
          </w:p>
        </w:tc>
      </w:tr>
      <w:tr w14:paraId="711E8166">
        <w:tblPrEx>
          <w:tblCellMar>
            <w:top w:w="0" w:type="dxa"/>
            <w:left w:w="108" w:type="dxa"/>
            <w:bottom w:w="0" w:type="dxa"/>
            <w:right w:w="108" w:type="dxa"/>
          </w:tblCellMar>
        </w:tblPrEx>
        <w:trPr>
          <w:trHeight w:val="645" w:hRule="atLeast"/>
        </w:trPr>
        <w:tc>
          <w:tcPr>
            <w:tcW w:w="2142" w:type="dxa"/>
            <w:tcBorders>
              <w:top w:val="nil"/>
              <w:left w:val="single" w:color="auto" w:sz="4" w:space="0"/>
              <w:bottom w:val="single" w:color="auto" w:sz="4" w:space="0"/>
              <w:right w:val="single" w:color="auto" w:sz="4" w:space="0"/>
            </w:tcBorders>
            <w:shd w:val="clear" w:color="auto" w:fill="auto"/>
            <w:vAlign w:val="center"/>
          </w:tcPr>
          <w:p w14:paraId="77A4B1F7">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市文化馆</w:t>
            </w:r>
          </w:p>
        </w:tc>
        <w:tc>
          <w:tcPr>
            <w:tcW w:w="1134" w:type="dxa"/>
            <w:tcBorders>
              <w:top w:val="nil"/>
              <w:left w:val="nil"/>
              <w:bottom w:val="single" w:color="auto" w:sz="4" w:space="0"/>
              <w:right w:val="single" w:color="auto" w:sz="4" w:space="0"/>
            </w:tcBorders>
            <w:shd w:val="clear" w:color="auto" w:fill="auto"/>
            <w:noWrap/>
            <w:vAlign w:val="center"/>
          </w:tcPr>
          <w:p w14:paraId="43420D6A">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29</w:t>
            </w:r>
          </w:p>
        </w:tc>
        <w:tc>
          <w:tcPr>
            <w:tcW w:w="3969" w:type="dxa"/>
            <w:tcBorders>
              <w:top w:val="nil"/>
              <w:left w:val="nil"/>
              <w:bottom w:val="single" w:color="auto" w:sz="4" w:space="0"/>
              <w:right w:val="single" w:color="auto" w:sz="4" w:space="0"/>
            </w:tcBorders>
            <w:shd w:val="clear" w:color="auto" w:fill="auto"/>
            <w:vAlign w:val="center"/>
          </w:tcPr>
          <w:p w14:paraId="1368A606">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康养文旅精品展工作</w:t>
            </w:r>
          </w:p>
        </w:tc>
        <w:tc>
          <w:tcPr>
            <w:tcW w:w="1995" w:type="dxa"/>
            <w:tcBorders>
              <w:top w:val="nil"/>
              <w:left w:val="nil"/>
              <w:bottom w:val="single" w:color="auto" w:sz="4" w:space="0"/>
              <w:right w:val="single" w:color="auto" w:sz="4" w:space="0"/>
            </w:tcBorders>
            <w:shd w:val="clear" w:color="auto" w:fill="auto"/>
            <w:vAlign w:val="center"/>
          </w:tcPr>
          <w:p w14:paraId="5E818A29">
            <w:pPr>
              <w:widowControl/>
              <w:spacing w:line="600" w:lineRule="exact"/>
              <w:rPr>
                <w:rFonts w:ascii="Times New Roman" w:hAnsi="宋体"/>
                <w:color w:val="000000"/>
                <w:kern w:val="0"/>
                <w:sz w:val="24"/>
                <w:szCs w:val="24"/>
              </w:rPr>
            </w:pPr>
            <w:r>
              <w:rPr>
                <w:rFonts w:ascii="Times New Roman" w:hAnsi="宋体"/>
                <w:color w:val="000000"/>
                <w:kern w:val="0"/>
                <w:sz w:val="24"/>
                <w:szCs w:val="24"/>
              </w:rPr>
              <w:t>攀财资教</w:t>
            </w:r>
          </w:p>
          <w:p w14:paraId="4B6F3F26">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hint="eastAsia" w:ascii="Times New Roman" w:hAnsi="Times New Roman"/>
                <w:color w:val="000000"/>
                <w:kern w:val="0"/>
                <w:sz w:val="24"/>
                <w:szCs w:val="24"/>
              </w:rPr>
              <w:t>21</w:t>
            </w:r>
            <w:r>
              <w:rPr>
                <w:rFonts w:ascii="Times New Roman" w:hAnsi="宋体"/>
                <w:color w:val="000000"/>
                <w:kern w:val="0"/>
                <w:sz w:val="24"/>
                <w:szCs w:val="24"/>
              </w:rPr>
              <w:t>〕</w:t>
            </w:r>
            <w:r>
              <w:rPr>
                <w:rFonts w:hint="eastAsia" w:ascii="Times New Roman" w:hAnsi="宋体"/>
                <w:color w:val="000000"/>
                <w:kern w:val="0"/>
                <w:sz w:val="24"/>
                <w:szCs w:val="24"/>
              </w:rPr>
              <w:t>42</w:t>
            </w:r>
            <w:r>
              <w:rPr>
                <w:rFonts w:ascii="Times New Roman" w:hAnsi="宋体"/>
                <w:color w:val="000000"/>
                <w:kern w:val="0"/>
                <w:sz w:val="24"/>
                <w:szCs w:val="24"/>
              </w:rPr>
              <w:t>号</w:t>
            </w:r>
          </w:p>
        </w:tc>
      </w:tr>
      <w:tr w14:paraId="6E2DA869">
        <w:tblPrEx>
          <w:tblCellMar>
            <w:top w:w="0" w:type="dxa"/>
            <w:left w:w="108" w:type="dxa"/>
            <w:bottom w:w="0" w:type="dxa"/>
            <w:right w:w="108" w:type="dxa"/>
          </w:tblCellMar>
        </w:tblPrEx>
        <w:trPr>
          <w:trHeight w:val="645" w:hRule="atLeast"/>
        </w:trPr>
        <w:tc>
          <w:tcPr>
            <w:tcW w:w="2142" w:type="dxa"/>
            <w:tcBorders>
              <w:top w:val="nil"/>
              <w:left w:val="single" w:color="auto" w:sz="4" w:space="0"/>
              <w:bottom w:val="single" w:color="auto" w:sz="4" w:space="0"/>
              <w:right w:val="single" w:color="auto" w:sz="4" w:space="0"/>
            </w:tcBorders>
            <w:shd w:val="clear" w:color="auto" w:fill="auto"/>
            <w:vAlign w:val="center"/>
          </w:tcPr>
          <w:p w14:paraId="48E8022D">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市广播电视台</w:t>
            </w:r>
          </w:p>
        </w:tc>
        <w:tc>
          <w:tcPr>
            <w:tcW w:w="1134" w:type="dxa"/>
            <w:tcBorders>
              <w:top w:val="nil"/>
              <w:left w:val="nil"/>
              <w:bottom w:val="single" w:color="auto" w:sz="4" w:space="0"/>
              <w:right w:val="single" w:color="auto" w:sz="4" w:space="0"/>
            </w:tcBorders>
            <w:shd w:val="clear" w:color="auto" w:fill="auto"/>
            <w:noWrap/>
            <w:vAlign w:val="center"/>
          </w:tcPr>
          <w:p w14:paraId="532DED4A">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50</w:t>
            </w:r>
          </w:p>
        </w:tc>
        <w:tc>
          <w:tcPr>
            <w:tcW w:w="3969" w:type="dxa"/>
            <w:tcBorders>
              <w:top w:val="nil"/>
              <w:left w:val="nil"/>
              <w:bottom w:val="single" w:color="auto" w:sz="4" w:space="0"/>
              <w:right w:val="single" w:color="auto" w:sz="4" w:space="0"/>
            </w:tcBorders>
            <w:shd w:val="clear" w:color="auto" w:fill="auto"/>
            <w:vAlign w:val="center"/>
          </w:tcPr>
          <w:p w14:paraId="697456CA">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2020年</w:t>
            </w:r>
            <w:r>
              <w:rPr>
                <w:rFonts w:ascii="Times New Roman" w:hAnsi="Times New Roman"/>
                <w:color w:val="000000"/>
                <w:kern w:val="0"/>
                <w:sz w:val="24"/>
                <w:szCs w:val="24"/>
              </w:rPr>
              <w:t>攀枝花市第十</w:t>
            </w:r>
            <w:r>
              <w:rPr>
                <w:rFonts w:hint="eastAsia" w:ascii="Times New Roman" w:hAnsi="Times New Roman"/>
                <w:color w:val="000000"/>
                <w:kern w:val="0"/>
                <w:sz w:val="24"/>
                <w:szCs w:val="24"/>
              </w:rPr>
              <w:t>一</w:t>
            </w:r>
            <w:r>
              <w:rPr>
                <w:rFonts w:ascii="Times New Roman" w:hAnsi="Times New Roman"/>
                <w:color w:val="000000"/>
                <w:kern w:val="0"/>
                <w:sz w:val="24"/>
                <w:szCs w:val="24"/>
              </w:rPr>
              <w:t>届欢乐阳光节</w:t>
            </w:r>
            <w:r>
              <w:rPr>
                <w:rFonts w:hint="eastAsia" w:ascii="Times New Roman" w:hAnsi="Times New Roman"/>
                <w:color w:val="000000"/>
                <w:kern w:val="0"/>
                <w:sz w:val="24"/>
                <w:szCs w:val="24"/>
              </w:rPr>
              <w:t>线上营销工作</w:t>
            </w:r>
          </w:p>
        </w:tc>
        <w:tc>
          <w:tcPr>
            <w:tcW w:w="1995" w:type="dxa"/>
            <w:tcBorders>
              <w:top w:val="nil"/>
              <w:left w:val="nil"/>
              <w:bottom w:val="single" w:color="auto" w:sz="4" w:space="0"/>
              <w:right w:val="single" w:color="auto" w:sz="4" w:space="0"/>
            </w:tcBorders>
            <w:shd w:val="clear" w:color="auto" w:fill="auto"/>
            <w:vAlign w:val="center"/>
          </w:tcPr>
          <w:p w14:paraId="33795904">
            <w:pPr>
              <w:widowControl/>
              <w:spacing w:line="600" w:lineRule="exact"/>
              <w:rPr>
                <w:rFonts w:ascii="Times New Roman" w:hAnsi="宋体"/>
                <w:color w:val="000000"/>
                <w:kern w:val="0"/>
                <w:sz w:val="24"/>
                <w:szCs w:val="24"/>
              </w:rPr>
            </w:pPr>
            <w:r>
              <w:rPr>
                <w:rFonts w:ascii="Times New Roman" w:hAnsi="宋体"/>
                <w:color w:val="000000"/>
                <w:kern w:val="0"/>
                <w:sz w:val="24"/>
                <w:szCs w:val="24"/>
              </w:rPr>
              <w:t>攀财资教</w:t>
            </w:r>
          </w:p>
          <w:p w14:paraId="5EF273F1">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w:t>
            </w:r>
            <w:r>
              <w:rPr>
                <w:rFonts w:ascii="Times New Roman" w:hAnsi="Times New Roman"/>
                <w:color w:val="000000"/>
                <w:kern w:val="0"/>
                <w:sz w:val="24"/>
                <w:szCs w:val="24"/>
              </w:rPr>
              <w:t>20</w:t>
            </w:r>
            <w:r>
              <w:rPr>
                <w:rFonts w:hint="eastAsia" w:ascii="Times New Roman" w:hAnsi="Times New Roman"/>
                <w:color w:val="000000"/>
                <w:kern w:val="0"/>
                <w:sz w:val="24"/>
                <w:szCs w:val="24"/>
              </w:rPr>
              <w:t>21</w:t>
            </w:r>
            <w:r>
              <w:rPr>
                <w:rFonts w:ascii="Times New Roman" w:hAnsi="宋体"/>
                <w:color w:val="000000"/>
                <w:kern w:val="0"/>
                <w:sz w:val="24"/>
                <w:szCs w:val="24"/>
              </w:rPr>
              <w:t>〕</w:t>
            </w:r>
            <w:r>
              <w:rPr>
                <w:rFonts w:hint="eastAsia" w:ascii="Times New Roman" w:hAnsi="宋体"/>
                <w:color w:val="000000"/>
                <w:kern w:val="0"/>
                <w:sz w:val="24"/>
                <w:szCs w:val="24"/>
              </w:rPr>
              <w:t>42</w:t>
            </w:r>
            <w:r>
              <w:rPr>
                <w:rFonts w:ascii="Times New Roman" w:hAnsi="宋体"/>
                <w:color w:val="000000"/>
                <w:kern w:val="0"/>
                <w:sz w:val="24"/>
                <w:szCs w:val="24"/>
              </w:rPr>
              <w:t>号</w:t>
            </w:r>
          </w:p>
        </w:tc>
      </w:tr>
      <w:tr w14:paraId="0122B332">
        <w:tblPrEx>
          <w:tblCellMar>
            <w:top w:w="0" w:type="dxa"/>
            <w:left w:w="108" w:type="dxa"/>
            <w:bottom w:w="0" w:type="dxa"/>
            <w:right w:w="108" w:type="dxa"/>
          </w:tblCellMar>
        </w:tblPrEx>
        <w:trPr>
          <w:trHeight w:val="645" w:hRule="atLeast"/>
        </w:trPr>
        <w:tc>
          <w:tcPr>
            <w:tcW w:w="2142" w:type="dxa"/>
            <w:tcBorders>
              <w:top w:val="nil"/>
              <w:left w:val="single" w:color="auto" w:sz="4" w:space="0"/>
              <w:bottom w:val="single" w:color="auto" w:sz="4" w:space="0"/>
              <w:right w:val="single" w:color="auto" w:sz="4" w:space="0"/>
            </w:tcBorders>
            <w:shd w:val="clear" w:color="auto" w:fill="auto"/>
            <w:vAlign w:val="center"/>
          </w:tcPr>
          <w:p w14:paraId="336E35C0">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合计</w:t>
            </w:r>
          </w:p>
        </w:tc>
        <w:tc>
          <w:tcPr>
            <w:tcW w:w="1134" w:type="dxa"/>
            <w:tcBorders>
              <w:top w:val="nil"/>
              <w:left w:val="nil"/>
              <w:bottom w:val="single" w:color="auto" w:sz="4" w:space="0"/>
              <w:right w:val="single" w:color="auto" w:sz="4" w:space="0"/>
            </w:tcBorders>
            <w:shd w:val="clear" w:color="auto" w:fill="auto"/>
            <w:noWrap/>
            <w:vAlign w:val="center"/>
          </w:tcPr>
          <w:p w14:paraId="12FE0F12">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153</w:t>
            </w:r>
          </w:p>
        </w:tc>
        <w:tc>
          <w:tcPr>
            <w:tcW w:w="3969" w:type="dxa"/>
            <w:tcBorders>
              <w:top w:val="nil"/>
              <w:left w:val="nil"/>
              <w:bottom w:val="single" w:color="auto" w:sz="4" w:space="0"/>
              <w:right w:val="single" w:color="auto" w:sz="4" w:space="0"/>
            </w:tcBorders>
            <w:shd w:val="clear" w:color="auto" w:fill="auto"/>
            <w:vAlign w:val="center"/>
          </w:tcPr>
          <w:p w14:paraId="2DE0CD53">
            <w:pPr>
              <w:widowControl/>
              <w:spacing w:line="600" w:lineRule="exact"/>
              <w:rPr>
                <w:rFonts w:ascii="Times New Roman" w:hAnsi="Times New Roman"/>
                <w:color w:val="000000"/>
                <w:kern w:val="0"/>
                <w:sz w:val="24"/>
                <w:szCs w:val="24"/>
              </w:rPr>
            </w:pPr>
          </w:p>
        </w:tc>
        <w:tc>
          <w:tcPr>
            <w:tcW w:w="1995" w:type="dxa"/>
            <w:tcBorders>
              <w:top w:val="nil"/>
              <w:left w:val="nil"/>
              <w:bottom w:val="single" w:color="auto" w:sz="4" w:space="0"/>
              <w:right w:val="single" w:color="auto" w:sz="4" w:space="0"/>
            </w:tcBorders>
            <w:shd w:val="clear" w:color="auto" w:fill="auto"/>
            <w:vAlign w:val="center"/>
          </w:tcPr>
          <w:p w14:paraId="434083C4">
            <w:pPr>
              <w:widowControl/>
              <w:spacing w:line="600" w:lineRule="exact"/>
              <w:rPr>
                <w:rFonts w:ascii="Times New Roman" w:hAnsi="Times New Roman"/>
                <w:color w:val="000000"/>
                <w:kern w:val="0"/>
                <w:sz w:val="24"/>
                <w:szCs w:val="24"/>
              </w:rPr>
            </w:pPr>
          </w:p>
        </w:tc>
      </w:tr>
    </w:tbl>
    <w:p w14:paraId="4216848F">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2．资金到位。</w:t>
      </w:r>
    </w:p>
    <w:p w14:paraId="3E4E6073">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仿宋_GB2312"/>
          <w:kern w:val="0"/>
          <w:sz w:val="32"/>
          <w:szCs w:val="32"/>
        </w:rPr>
        <w:t>20</w:t>
      </w:r>
      <w:r>
        <w:rPr>
          <w:rFonts w:hint="eastAsia" w:ascii="Times New Roman" w:hAnsi="Times New Roman" w:eastAsia="仿宋_GB2312"/>
          <w:kern w:val="0"/>
          <w:sz w:val="32"/>
          <w:szCs w:val="32"/>
        </w:rPr>
        <w:t>21</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第十一届欢乐阳光节</w:t>
      </w:r>
      <w:r>
        <w:rPr>
          <w:rFonts w:ascii="Times New Roman" w:hAnsi="Times New Roman" w:eastAsia="仿宋_GB2312"/>
          <w:kern w:val="0"/>
          <w:sz w:val="32"/>
          <w:szCs w:val="32"/>
        </w:rPr>
        <w:t>活动经费实际到位</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万元</w:t>
      </w:r>
      <w:r>
        <w:rPr>
          <w:rFonts w:hint="eastAsia" w:ascii="Times New Roman" w:hAnsi="Times New Roman" w:eastAsia="仿宋_GB2312"/>
          <w:kern w:val="0"/>
          <w:sz w:val="32"/>
          <w:szCs w:val="32"/>
        </w:rPr>
        <w:t>，资金</w:t>
      </w:r>
      <w:r>
        <w:rPr>
          <w:rFonts w:ascii="Times New Roman" w:hAnsi="Times New Roman" w:eastAsia="仿宋_GB2312"/>
          <w:kern w:val="0"/>
          <w:sz w:val="32"/>
          <w:szCs w:val="32"/>
        </w:rPr>
        <w:t>到位率</w:t>
      </w:r>
      <w:r>
        <w:rPr>
          <w:rFonts w:hint="eastAsia" w:ascii="Times New Roman" w:hAnsi="Times New Roman" w:eastAsia="仿宋_GB2312"/>
          <w:kern w:val="0"/>
          <w:sz w:val="32"/>
          <w:szCs w:val="32"/>
        </w:rPr>
        <w:t>100</w:t>
      </w:r>
      <w:r>
        <w:rPr>
          <w:rFonts w:ascii="Times New Roman" w:hAnsi="Times New Roman" w:eastAsia="仿宋_GB2312"/>
          <w:kern w:val="0"/>
          <w:sz w:val="32"/>
          <w:szCs w:val="32"/>
        </w:rPr>
        <w:t>%，</w:t>
      </w:r>
      <w:r>
        <w:rPr>
          <w:rFonts w:hint="eastAsia" w:ascii="Times New Roman" w:hAnsi="Times New Roman" w:eastAsia="仿宋_GB2312"/>
          <w:kern w:val="0"/>
          <w:sz w:val="32"/>
          <w:szCs w:val="32"/>
        </w:rPr>
        <w:t>其中市文广旅局14万元，盐边县文广旅局60万元，市文化馆29万元，市广播电视台50万元</w:t>
      </w:r>
      <w:r>
        <w:rPr>
          <w:rFonts w:ascii="Times New Roman" w:hAnsi="Times New Roman" w:eastAsia="仿宋_GB2312"/>
          <w:kern w:val="0"/>
          <w:sz w:val="32"/>
          <w:szCs w:val="32"/>
        </w:rPr>
        <w:t>。</w:t>
      </w:r>
    </w:p>
    <w:p w14:paraId="1A35FB62">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3．资金使用。</w:t>
      </w:r>
    </w:p>
    <w:p w14:paraId="750D1107">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20</w:t>
      </w:r>
      <w:r>
        <w:rPr>
          <w:rFonts w:hint="eastAsia" w:ascii="Times New Roman" w:hAnsi="Times New Roman" w:eastAsia="仿宋_GB2312"/>
          <w:kern w:val="0"/>
          <w:sz w:val="32"/>
          <w:szCs w:val="32"/>
        </w:rPr>
        <w:t>21</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第十一届欢乐阳光节</w:t>
      </w:r>
      <w:r>
        <w:rPr>
          <w:rFonts w:ascii="Times New Roman" w:hAnsi="Times New Roman" w:eastAsia="仿宋_GB2312"/>
          <w:kern w:val="0"/>
          <w:sz w:val="32"/>
          <w:szCs w:val="32"/>
        </w:rPr>
        <w:t>活动经费实际</w:t>
      </w:r>
      <w:r>
        <w:rPr>
          <w:rFonts w:hint="eastAsia" w:ascii="Times New Roman" w:hAnsi="Times New Roman" w:eastAsia="仿宋_GB2312"/>
          <w:kern w:val="0"/>
          <w:sz w:val="32"/>
          <w:szCs w:val="32"/>
        </w:rPr>
        <w:t>使用</w:t>
      </w:r>
      <w:r>
        <w:rPr>
          <w:rFonts w:ascii="Times New Roman" w:hAnsi="Times New Roman" w:eastAsia="仿宋_GB2312"/>
          <w:kern w:val="0"/>
          <w:sz w:val="32"/>
          <w:szCs w:val="32"/>
        </w:rPr>
        <w:t>资金</w:t>
      </w:r>
      <w:r>
        <w:rPr>
          <w:rFonts w:hint="eastAsia" w:ascii="Times New Roman" w:hAnsi="Times New Roman" w:eastAsia="仿宋_GB2312"/>
          <w:kern w:val="0"/>
          <w:sz w:val="32"/>
          <w:szCs w:val="32"/>
        </w:rPr>
        <w:t>153</w:t>
      </w:r>
      <w:r>
        <w:rPr>
          <w:rFonts w:ascii="Times New Roman" w:hAnsi="Times New Roman" w:eastAsia="仿宋_GB2312"/>
          <w:kern w:val="0"/>
          <w:sz w:val="32"/>
          <w:szCs w:val="32"/>
        </w:rPr>
        <w:t>万</w:t>
      </w:r>
      <w:r>
        <w:rPr>
          <w:rFonts w:hint="eastAsia" w:ascii="Times New Roman" w:hAnsi="Times New Roman" w:eastAsia="仿宋_GB2312"/>
          <w:kern w:val="0"/>
          <w:sz w:val="32"/>
          <w:szCs w:val="32"/>
        </w:rPr>
        <w:t>，</w:t>
      </w:r>
      <w:r>
        <w:rPr>
          <w:rFonts w:ascii="Times New Roman" w:hAnsi="Times New Roman" w:eastAsia="仿宋_GB2312"/>
          <w:kern w:val="0"/>
          <w:sz w:val="32"/>
          <w:szCs w:val="32"/>
        </w:rPr>
        <w:t>资金拨付率</w:t>
      </w:r>
      <w:r>
        <w:rPr>
          <w:rFonts w:hint="eastAsia" w:ascii="Times New Roman" w:hAnsi="Times New Roman" w:eastAsia="仿宋_GB2312"/>
          <w:kern w:val="0"/>
          <w:sz w:val="32"/>
          <w:szCs w:val="32"/>
        </w:rPr>
        <w:t>100</w:t>
      </w:r>
      <w:r>
        <w:rPr>
          <w:rFonts w:ascii="Times New Roman" w:hAnsi="Times New Roman" w:eastAsia="仿宋_GB2312"/>
          <w:kern w:val="0"/>
          <w:sz w:val="32"/>
          <w:szCs w:val="32"/>
        </w:rPr>
        <w:t>%。预算资金实际使用情况如下：</w:t>
      </w:r>
    </w:p>
    <w:p w14:paraId="05D13E22">
      <w:pPr>
        <w:autoSpaceDE w:val="0"/>
        <w:autoSpaceDN w:val="0"/>
        <w:adjustRightInd w:val="0"/>
        <w:spacing w:line="600" w:lineRule="exact"/>
        <w:rPr>
          <w:rFonts w:ascii="Times New Roman" w:hAnsi="Times New Roman" w:eastAsia="仿宋_GB2312"/>
          <w:b/>
          <w:kern w:val="0"/>
          <w:sz w:val="32"/>
          <w:szCs w:val="32"/>
        </w:rPr>
      </w:pPr>
    </w:p>
    <w:p w14:paraId="1BD7953C">
      <w:pPr>
        <w:autoSpaceDE w:val="0"/>
        <w:autoSpaceDN w:val="0"/>
        <w:adjustRightInd w:val="0"/>
        <w:spacing w:line="600" w:lineRule="exact"/>
        <w:jc w:val="center"/>
        <w:rPr>
          <w:rFonts w:ascii="Times New Roman" w:hAnsi="Times New Roman" w:eastAsia="仿宋_GB2312"/>
          <w:b/>
          <w:kern w:val="0"/>
          <w:sz w:val="32"/>
          <w:szCs w:val="32"/>
        </w:rPr>
      </w:pPr>
      <w:r>
        <w:rPr>
          <w:rFonts w:ascii="Times New Roman" w:hAnsi="Times New Roman" w:eastAsia="仿宋_GB2312"/>
          <w:b/>
          <w:kern w:val="0"/>
          <w:sz w:val="32"/>
          <w:szCs w:val="32"/>
        </w:rPr>
        <w:t>20</w:t>
      </w:r>
      <w:r>
        <w:rPr>
          <w:rFonts w:hint="eastAsia" w:ascii="Times New Roman" w:hAnsi="Times New Roman" w:eastAsia="仿宋_GB2312"/>
          <w:b/>
          <w:kern w:val="0"/>
          <w:sz w:val="32"/>
          <w:szCs w:val="32"/>
        </w:rPr>
        <w:t>20</w:t>
      </w:r>
      <w:r>
        <w:rPr>
          <w:rFonts w:ascii="Times New Roman" w:hAnsi="Times New Roman" w:eastAsia="仿宋_GB2312"/>
          <w:b/>
          <w:kern w:val="0"/>
          <w:sz w:val="32"/>
          <w:szCs w:val="32"/>
        </w:rPr>
        <w:t>年</w:t>
      </w:r>
      <w:r>
        <w:rPr>
          <w:rFonts w:hint="eastAsia" w:ascii="Times New Roman" w:hAnsi="Times New Roman" w:eastAsia="仿宋_GB2312"/>
          <w:b/>
          <w:kern w:val="0"/>
          <w:sz w:val="32"/>
          <w:szCs w:val="32"/>
        </w:rPr>
        <w:t>第十一届欢乐阳光节</w:t>
      </w:r>
      <w:r>
        <w:rPr>
          <w:rFonts w:ascii="Times New Roman" w:hAnsi="Times New Roman" w:eastAsia="仿宋_GB2312"/>
          <w:b/>
          <w:kern w:val="0"/>
          <w:sz w:val="32"/>
          <w:szCs w:val="32"/>
        </w:rPr>
        <w:t>经费预算使用</w:t>
      </w:r>
      <w:r>
        <w:rPr>
          <w:rFonts w:hint="eastAsia" w:ascii="Times New Roman" w:hAnsi="Times New Roman" w:eastAsia="仿宋_GB2312"/>
          <w:b/>
          <w:kern w:val="0"/>
          <w:sz w:val="32"/>
          <w:szCs w:val="32"/>
        </w:rPr>
        <w:t>情况</w:t>
      </w:r>
      <w:r>
        <w:rPr>
          <w:rFonts w:ascii="Times New Roman" w:hAnsi="Times New Roman" w:eastAsia="仿宋_GB2312"/>
          <w:b/>
          <w:kern w:val="0"/>
          <w:sz w:val="32"/>
          <w:szCs w:val="32"/>
        </w:rPr>
        <w:t>明细表</w:t>
      </w:r>
    </w:p>
    <w:p w14:paraId="4682B58D">
      <w:pPr>
        <w:autoSpaceDE w:val="0"/>
        <w:autoSpaceDN w:val="0"/>
        <w:adjustRightInd w:val="0"/>
        <w:spacing w:line="600" w:lineRule="exact"/>
        <w:rPr>
          <w:rFonts w:ascii="Times New Roman" w:hAnsi="Times New Roman" w:eastAsia="仿宋_GB2312"/>
          <w:kern w:val="0"/>
          <w:sz w:val="30"/>
          <w:szCs w:val="30"/>
        </w:rPr>
      </w:pPr>
      <w:r>
        <w:rPr>
          <w:rFonts w:ascii="Times New Roman" w:hAnsi="Times New Roman" w:eastAsia="仿宋_GB2312"/>
          <w:kern w:val="0"/>
          <w:sz w:val="30"/>
          <w:szCs w:val="30"/>
        </w:rPr>
        <w:t>单位：万元</w:t>
      </w:r>
    </w:p>
    <w:tbl>
      <w:tblPr>
        <w:tblStyle w:val="5"/>
        <w:tblW w:w="9240" w:type="dxa"/>
        <w:tblInd w:w="93" w:type="dxa"/>
        <w:tblLayout w:type="autofit"/>
        <w:tblCellMar>
          <w:top w:w="0" w:type="dxa"/>
          <w:left w:w="108" w:type="dxa"/>
          <w:bottom w:w="0" w:type="dxa"/>
          <w:right w:w="108" w:type="dxa"/>
        </w:tblCellMar>
      </w:tblPr>
      <w:tblGrid>
        <w:gridCol w:w="3023"/>
        <w:gridCol w:w="1016"/>
        <w:gridCol w:w="5201"/>
      </w:tblGrid>
      <w:tr w14:paraId="0AA0C9DE">
        <w:tblPrEx>
          <w:tblCellMar>
            <w:top w:w="0" w:type="dxa"/>
            <w:left w:w="108" w:type="dxa"/>
            <w:bottom w:w="0" w:type="dxa"/>
            <w:right w:w="108" w:type="dxa"/>
          </w:tblCellMar>
        </w:tblPrEx>
        <w:trPr>
          <w:trHeight w:val="735" w:hRule="atLeast"/>
        </w:trPr>
        <w:tc>
          <w:tcPr>
            <w:tcW w:w="302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107BAEB">
            <w:pPr>
              <w:widowControl/>
              <w:spacing w:line="600" w:lineRule="exact"/>
              <w:rPr>
                <w:rFonts w:ascii="Times New Roman" w:hAnsi="Times New Roman"/>
                <w:color w:val="000000"/>
                <w:kern w:val="0"/>
                <w:sz w:val="32"/>
                <w:szCs w:val="32"/>
              </w:rPr>
            </w:pPr>
            <w:r>
              <w:rPr>
                <w:rFonts w:ascii="Times New Roman" w:hAnsi="宋体"/>
                <w:color w:val="000000"/>
                <w:kern w:val="0"/>
                <w:sz w:val="32"/>
                <w:szCs w:val="32"/>
              </w:rPr>
              <w:t>项目单位</w:t>
            </w:r>
          </w:p>
        </w:tc>
        <w:tc>
          <w:tcPr>
            <w:tcW w:w="1016" w:type="dxa"/>
            <w:tcBorders>
              <w:top w:val="single" w:color="auto" w:sz="4" w:space="0"/>
              <w:left w:val="nil"/>
              <w:bottom w:val="single" w:color="auto" w:sz="4" w:space="0"/>
              <w:right w:val="single" w:color="auto" w:sz="4" w:space="0"/>
            </w:tcBorders>
            <w:shd w:val="clear" w:color="auto" w:fill="auto"/>
            <w:noWrap/>
            <w:vAlign w:val="center"/>
          </w:tcPr>
          <w:p w14:paraId="35BA605E">
            <w:pPr>
              <w:widowControl/>
              <w:spacing w:line="600" w:lineRule="exact"/>
              <w:rPr>
                <w:rFonts w:ascii="Times New Roman" w:hAnsi="Times New Roman"/>
                <w:color w:val="000000"/>
                <w:kern w:val="0"/>
                <w:sz w:val="32"/>
                <w:szCs w:val="32"/>
              </w:rPr>
            </w:pPr>
            <w:r>
              <w:rPr>
                <w:rFonts w:ascii="Times New Roman" w:hAnsi="宋体"/>
                <w:color w:val="000000"/>
                <w:kern w:val="0"/>
                <w:sz w:val="32"/>
                <w:szCs w:val="32"/>
              </w:rPr>
              <w:t>金额</w:t>
            </w:r>
          </w:p>
        </w:tc>
        <w:tc>
          <w:tcPr>
            <w:tcW w:w="5201" w:type="dxa"/>
            <w:tcBorders>
              <w:top w:val="single" w:color="auto" w:sz="4" w:space="0"/>
              <w:left w:val="nil"/>
              <w:bottom w:val="single" w:color="auto" w:sz="4" w:space="0"/>
              <w:right w:val="single" w:color="auto" w:sz="4" w:space="0"/>
            </w:tcBorders>
            <w:shd w:val="clear" w:color="auto" w:fill="auto"/>
            <w:noWrap/>
            <w:vAlign w:val="center"/>
          </w:tcPr>
          <w:p w14:paraId="1203FC20">
            <w:pPr>
              <w:widowControl/>
              <w:spacing w:line="600" w:lineRule="exact"/>
              <w:ind w:firstLine="1600" w:firstLineChars="500"/>
              <w:rPr>
                <w:rFonts w:ascii="Times New Roman" w:hAnsi="Times New Roman"/>
                <w:color w:val="000000"/>
                <w:kern w:val="0"/>
                <w:sz w:val="32"/>
                <w:szCs w:val="32"/>
              </w:rPr>
            </w:pPr>
            <w:r>
              <w:rPr>
                <w:rFonts w:ascii="Times New Roman" w:hAnsi="宋体"/>
                <w:color w:val="000000"/>
                <w:kern w:val="0"/>
                <w:sz w:val="32"/>
                <w:szCs w:val="32"/>
              </w:rPr>
              <w:t>项目内容</w:t>
            </w:r>
          </w:p>
        </w:tc>
      </w:tr>
      <w:tr w14:paraId="37AA7631">
        <w:tblPrEx>
          <w:tblCellMar>
            <w:top w:w="0" w:type="dxa"/>
            <w:left w:w="108" w:type="dxa"/>
            <w:bottom w:w="0" w:type="dxa"/>
            <w:right w:w="108" w:type="dxa"/>
          </w:tblCellMar>
        </w:tblPrEx>
        <w:trPr>
          <w:trHeight w:val="1140" w:hRule="atLeast"/>
        </w:trPr>
        <w:tc>
          <w:tcPr>
            <w:tcW w:w="3023" w:type="dxa"/>
            <w:tcBorders>
              <w:top w:val="nil"/>
              <w:left w:val="single" w:color="auto" w:sz="4" w:space="0"/>
              <w:bottom w:val="single" w:color="auto" w:sz="4" w:space="0"/>
              <w:right w:val="single" w:color="auto" w:sz="4" w:space="0"/>
            </w:tcBorders>
            <w:shd w:val="clear" w:color="auto" w:fill="auto"/>
            <w:vAlign w:val="center"/>
          </w:tcPr>
          <w:p w14:paraId="666D4361">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市文广旅局</w:t>
            </w:r>
          </w:p>
        </w:tc>
        <w:tc>
          <w:tcPr>
            <w:tcW w:w="1016" w:type="dxa"/>
            <w:tcBorders>
              <w:top w:val="nil"/>
              <w:left w:val="nil"/>
              <w:bottom w:val="single" w:color="auto" w:sz="4" w:space="0"/>
              <w:right w:val="single" w:color="auto" w:sz="4" w:space="0"/>
            </w:tcBorders>
            <w:shd w:val="clear" w:color="auto" w:fill="auto"/>
            <w:noWrap/>
            <w:vAlign w:val="center"/>
          </w:tcPr>
          <w:p w14:paraId="15100545">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14</w:t>
            </w:r>
          </w:p>
        </w:tc>
        <w:tc>
          <w:tcPr>
            <w:tcW w:w="5201" w:type="dxa"/>
            <w:tcBorders>
              <w:top w:val="nil"/>
              <w:left w:val="nil"/>
              <w:bottom w:val="single" w:color="auto" w:sz="4" w:space="0"/>
              <w:right w:val="single" w:color="auto" w:sz="4" w:space="0"/>
            </w:tcBorders>
            <w:shd w:val="clear" w:color="auto" w:fill="auto"/>
            <w:vAlign w:val="center"/>
          </w:tcPr>
          <w:p w14:paraId="5977515A">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用于攀枝花市第十一届欢乐阳光节组织会务、宣传等工作</w:t>
            </w:r>
          </w:p>
        </w:tc>
      </w:tr>
      <w:tr w14:paraId="49C73BF7">
        <w:tblPrEx>
          <w:tblCellMar>
            <w:top w:w="0" w:type="dxa"/>
            <w:left w:w="108" w:type="dxa"/>
            <w:bottom w:w="0" w:type="dxa"/>
            <w:right w:w="108" w:type="dxa"/>
          </w:tblCellMar>
        </w:tblPrEx>
        <w:trPr>
          <w:trHeight w:val="645" w:hRule="atLeast"/>
        </w:trPr>
        <w:tc>
          <w:tcPr>
            <w:tcW w:w="3023" w:type="dxa"/>
            <w:tcBorders>
              <w:top w:val="nil"/>
              <w:left w:val="single" w:color="auto" w:sz="4" w:space="0"/>
              <w:bottom w:val="single" w:color="auto" w:sz="4" w:space="0"/>
              <w:right w:val="single" w:color="auto" w:sz="4" w:space="0"/>
            </w:tcBorders>
            <w:shd w:val="clear" w:color="auto" w:fill="auto"/>
            <w:vAlign w:val="center"/>
          </w:tcPr>
          <w:p w14:paraId="584EC361">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盐边县文广旅局</w:t>
            </w:r>
          </w:p>
        </w:tc>
        <w:tc>
          <w:tcPr>
            <w:tcW w:w="1016" w:type="dxa"/>
            <w:tcBorders>
              <w:top w:val="nil"/>
              <w:left w:val="nil"/>
              <w:bottom w:val="single" w:color="auto" w:sz="4" w:space="0"/>
              <w:right w:val="single" w:color="auto" w:sz="4" w:space="0"/>
            </w:tcBorders>
            <w:shd w:val="clear" w:color="auto" w:fill="auto"/>
            <w:noWrap/>
            <w:vAlign w:val="center"/>
          </w:tcPr>
          <w:p w14:paraId="6F2B6050">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60</w:t>
            </w:r>
          </w:p>
        </w:tc>
        <w:tc>
          <w:tcPr>
            <w:tcW w:w="5201" w:type="dxa"/>
            <w:tcBorders>
              <w:top w:val="nil"/>
              <w:left w:val="nil"/>
              <w:bottom w:val="single" w:color="auto" w:sz="4" w:space="0"/>
              <w:right w:val="single" w:color="auto" w:sz="4" w:space="0"/>
            </w:tcBorders>
            <w:shd w:val="clear" w:color="auto" w:fill="auto"/>
            <w:vAlign w:val="center"/>
          </w:tcPr>
          <w:p w14:paraId="15B5E1B8">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用于</w:t>
            </w:r>
            <w:r>
              <w:rPr>
                <w:rFonts w:ascii="Times New Roman" w:hAnsi="Times New Roman"/>
                <w:color w:val="000000"/>
                <w:kern w:val="0"/>
                <w:sz w:val="24"/>
                <w:szCs w:val="24"/>
              </w:rPr>
              <w:t>2020</w:t>
            </w:r>
            <w:r>
              <w:rPr>
                <w:rFonts w:hint="eastAsia" w:ascii="Times New Roman" w:hAnsi="Times New Roman"/>
                <w:color w:val="000000"/>
                <w:kern w:val="0"/>
                <w:sz w:val="24"/>
                <w:szCs w:val="24"/>
              </w:rPr>
              <w:t>年攀枝花市第十一届欢乐阳光节开幕式舞台搭建及文化活动开展</w:t>
            </w:r>
          </w:p>
        </w:tc>
      </w:tr>
      <w:tr w14:paraId="14AAC663">
        <w:tblPrEx>
          <w:tblCellMar>
            <w:top w:w="0" w:type="dxa"/>
            <w:left w:w="108" w:type="dxa"/>
            <w:bottom w:w="0" w:type="dxa"/>
            <w:right w:w="108" w:type="dxa"/>
          </w:tblCellMar>
        </w:tblPrEx>
        <w:trPr>
          <w:trHeight w:val="645" w:hRule="atLeast"/>
        </w:trPr>
        <w:tc>
          <w:tcPr>
            <w:tcW w:w="3023" w:type="dxa"/>
            <w:tcBorders>
              <w:top w:val="nil"/>
              <w:left w:val="single" w:color="auto" w:sz="4" w:space="0"/>
              <w:bottom w:val="single" w:color="auto" w:sz="4" w:space="0"/>
              <w:right w:val="single" w:color="auto" w:sz="4" w:space="0"/>
            </w:tcBorders>
            <w:shd w:val="clear" w:color="auto" w:fill="auto"/>
            <w:vAlign w:val="center"/>
          </w:tcPr>
          <w:p w14:paraId="637FCFBF">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市文化馆</w:t>
            </w:r>
          </w:p>
        </w:tc>
        <w:tc>
          <w:tcPr>
            <w:tcW w:w="1016" w:type="dxa"/>
            <w:tcBorders>
              <w:top w:val="nil"/>
              <w:left w:val="nil"/>
              <w:bottom w:val="single" w:color="auto" w:sz="4" w:space="0"/>
              <w:right w:val="single" w:color="auto" w:sz="4" w:space="0"/>
            </w:tcBorders>
            <w:shd w:val="clear" w:color="auto" w:fill="auto"/>
            <w:noWrap/>
            <w:vAlign w:val="center"/>
          </w:tcPr>
          <w:p w14:paraId="2A858264">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29</w:t>
            </w:r>
          </w:p>
        </w:tc>
        <w:tc>
          <w:tcPr>
            <w:tcW w:w="5201" w:type="dxa"/>
            <w:tcBorders>
              <w:top w:val="nil"/>
              <w:left w:val="nil"/>
              <w:bottom w:val="single" w:color="auto" w:sz="4" w:space="0"/>
              <w:right w:val="single" w:color="auto" w:sz="4" w:space="0"/>
            </w:tcBorders>
            <w:shd w:val="clear" w:color="auto" w:fill="auto"/>
            <w:vAlign w:val="center"/>
          </w:tcPr>
          <w:p w14:paraId="58C6AA92">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用于2020年</w:t>
            </w:r>
            <w:r>
              <w:rPr>
                <w:rFonts w:ascii="Times New Roman" w:hAnsi="Times New Roman"/>
                <w:color w:val="000000"/>
                <w:kern w:val="0"/>
                <w:sz w:val="24"/>
                <w:szCs w:val="24"/>
              </w:rPr>
              <w:t>攀枝花市第十</w:t>
            </w:r>
            <w:r>
              <w:rPr>
                <w:rFonts w:hint="eastAsia" w:ascii="Times New Roman" w:hAnsi="Times New Roman"/>
                <w:color w:val="000000"/>
                <w:kern w:val="0"/>
                <w:sz w:val="24"/>
                <w:szCs w:val="24"/>
              </w:rPr>
              <w:t>一</w:t>
            </w:r>
            <w:r>
              <w:rPr>
                <w:rFonts w:ascii="Times New Roman" w:hAnsi="Times New Roman"/>
                <w:color w:val="000000"/>
                <w:kern w:val="0"/>
                <w:sz w:val="24"/>
                <w:szCs w:val="24"/>
              </w:rPr>
              <w:t>届欢乐阳光节</w:t>
            </w:r>
            <w:r>
              <w:rPr>
                <w:rFonts w:hint="eastAsia" w:ascii="Times New Roman" w:hAnsi="Times New Roman"/>
                <w:color w:val="000000"/>
                <w:kern w:val="0"/>
                <w:sz w:val="24"/>
                <w:szCs w:val="24"/>
              </w:rPr>
              <w:t>康养文旅精品展工作</w:t>
            </w:r>
          </w:p>
        </w:tc>
      </w:tr>
      <w:tr w14:paraId="112BEC1B">
        <w:tblPrEx>
          <w:tblCellMar>
            <w:top w:w="0" w:type="dxa"/>
            <w:left w:w="108" w:type="dxa"/>
            <w:bottom w:w="0" w:type="dxa"/>
            <w:right w:w="108" w:type="dxa"/>
          </w:tblCellMar>
        </w:tblPrEx>
        <w:trPr>
          <w:trHeight w:val="645" w:hRule="atLeast"/>
        </w:trPr>
        <w:tc>
          <w:tcPr>
            <w:tcW w:w="3023" w:type="dxa"/>
            <w:tcBorders>
              <w:top w:val="nil"/>
              <w:left w:val="single" w:color="auto" w:sz="4" w:space="0"/>
              <w:bottom w:val="single" w:color="auto" w:sz="4" w:space="0"/>
              <w:right w:val="single" w:color="auto" w:sz="4" w:space="0"/>
            </w:tcBorders>
            <w:shd w:val="clear" w:color="auto" w:fill="auto"/>
            <w:vAlign w:val="center"/>
          </w:tcPr>
          <w:p w14:paraId="224F525A">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市广播电视台</w:t>
            </w:r>
          </w:p>
        </w:tc>
        <w:tc>
          <w:tcPr>
            <w:tcW w:w="1016" w:type="dxa"/>
            <w:tcBorders>
              <w:top w:val="nil"/>
              <w:left w:val="nil"/>
              <w:bottom w:val="single" w:color="auto" w:sz="4" w:space="0"/>
              <w:right w:val="single" w:color="auto" w:sz="4" w:space="0"/>
            </w:tcBorders>
            <w:shd w:val="clear" w:color="auto" w:fill="auto"/>
            <w:noWrap/>
            <w:vAlign w:val="center"/>
          </w:tcPr>
          <w:p w14:paraId="5949ACF6">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50</w:t>
            </w:r>
          </w:p>
        </w:tc>
        <w:tc>
          <w:tcPr>
            <w:tcW w:w="5201" w:type="dxa"/>
            <w:tcBorders>
              <w:top w:val="nil"/>
              <w:left w:val="nil"/>
              <w:bottom w:val="single" w:color="auto" w:sz="4" w:space="0"/>
              <w:right w:val="single" w:color="auto" w:sz="4" w:space="0"/>
            </w:tcBorders>
            <w:shd w:val="clear" w:color="auto" w:fill="auto"/>
            <w:vAlign w:val="center"/>
          </w:tcPr>
          <w:p w14:paraId="537864F0">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用于2020年</w:t>
            </w:r>
            <w:r>
              <w:rPr>
                <w:rFonts w:ascii="Times New Roman" w:hAnsi="Times New Roman"/>
                <w:color w:val="000000"/>
                <w:kern w:val="0"/>
                <w:sz w:val="24"/>
                <w:szCs w:val="24"/>
              </w:rPr>
              <w:t>攀枝花市第十</w:t>
            </w:r>
            <w:r>
              <w:rPr>
                <w:rFonts w:hint="eastAsia" w:ascii="Times New Roman" w:hAnsi="Times New Roman"/>
                <w:color w:val="000000"/>
                <w:kern w:val="0"/>
                <w:sz w:val="24"/>
                <w:szCs w:val="24"/>
              </w:rPr>
              <w:t>一</w:t>
            </w:r>
            <w:r>
              <w:rPr>
                <w:rFonts w:ascii="Times New Roman" w:hAnsi="Times New Roman"/>
                <w:color w:val="000000"/>
                <w:kern w:val="0"/>
                <w:sz w:val="24"/>
                <w:szCs w:val="24"/>
              </w:rPr>
              <w:t>届欢乐阳光节</w:t>
            </w:r>
            <w:r>
              <w:rPr>
                <w:rFonts w:hint="eastAsia" w:ascii="Times New Roman" w:hAnsi="Times New Roman"/>
                <w:color w:val="000000"/>
                <w:kern w:val="0"/>
                <w:sz w:val="24"/>
                <w:szCs w:val="24"/>
              </w:rPr>
              <w:t>线上营销工作</w:t>
            </w:r>
          </w:p>
        </w:tc>
      </w:tr>
      <w:tr w14:paraId="7E2CD833">
        <w:tblPrEx>
          <w:tblCellMar>
            <w:top w:w="0" w:type="dxa"/>
            <w:left w:w="108" w:type="dxa"/>
            <w:bottom w:w="0" w:type="dxa"/>
            <w:right w:w="108" w:type="dxa"/>
          </w:tblCellMar>
        </w:tblPrEx>
        <w:trPr>
          <w:trHeight w:val="585" w:hRule="atLeast"/>
        </w:trPr>
        <w:tc>
          <w:tcPr>
            <w:tcW w:w="3023" w:type="dxa"/>
            <w:tcBorders>
              <w:top w:val="nil"/>
              <w:left w:val="single" w:color="auto" w:sz="4" w:space="0"/>
              <w:bottom w:val="single" w:color="auto" w:sz="4" w:space="0"/>
              <w:right w:val="single" w:color="auto" w:sz="4" w:space="0"/>
            </w:tcBorders>
            <w:shd w:val="clear" w:color="auto" w:fill="auto"/>
            <w:noWrap/>
            <w:vAlign w:val="center"/>
          </w:tcPr>
          <w:p w14:paraId="37DF028F">
            <w:pPr>
              <w:widowControl/>
              <w:spacing w:line="600" w:lineRule="exact"/>
              <w:rPr>
                <w:rFonts w:ascii="Times New Roman" w:hAnsi="Times New Roman"/>
                <w:color w:val="000000"/>
                <w:kern w:val="0"/>
                <w:sz w:val="24"/>
                <w:szCs w:val="24"/>
              </w:rPr>
            </w:pPr>
            <w:r>
              <w:rPr>
                <w:rFonts w:ascii="Times New Roman" w:hAnsi="宋体"/>
                <w:color w:val="000000"/>
                <w:kern w:val="0"/>
                <w:sz w:val="24"/>
                <w:szCs w:val="24"/>
              </w:rPr>
              <w:t>合</w:t>
            </w:r>
            <w:r>
              <w:rPr>
                <w:rFonts w:ascii="Times New Roman" w:hAnsi="Times New Roman"/>
                <w:color w:val="000000"/>
                <w:kern w:val="0"/>
                <w:sz w:val="24"/>
                <w:szCs w:val="24"/>
              </w:rPr>
              <w:t xml:space="preserve">   </w:t>
            </w:r>
            <w:r>
              <w:rPr>
                <w:rFonts w:ascii="Times New Roman" w:hAnsi="宋体"/>
                <w:color w:val="000000"/>
                <w:kern w:val="0"/>
                <w:sz w:val="24"/>
                <w:szCs w:val="24"/>
              </w:rPr>
              <w:t>计</w:t>
            </w:r>
          </w:p>
        </w:tc>
        <w:tc>
          <w:tcPr>
            <w:tcW w:w="1016" w:type="dxa"/>
            <w:tcBorders>
              <w:top w:val="nil"/>
              <w:left w:val="nil"/>
              <w:bottom w:val="single" w:color="auto" w:sz="4" w:space="0"/>
              <w:right w:val="single" w:color="auto" w:sz="4" w:space="0"/>
            </w:tcBorders>
            <w:shd w:val="clear" w:color="auto" w:fill="auto"/>
            <w:noWrap/>
            <w:vAlign w:val="center"/>
          </w:tcPr>
          <w:p w14:paraId="78D7BB29">
            <w:pPr>
              <w:widowControl/>
              <w:spacing w:line="600" w:lineRule="exact"/>
              <w:rPr>
                <w:rFonts w:ascii="Times New Roman" w:hAnsi="Times New Roman"/>
                <w:color w:val="000000"/>
                <w:kern w:val="0"/>
                <w:sz w:val="24"/>
                <w:szCs w:val="24"/>
              </w:rPr>
            </w:pPr>
            <w:r>
              <w:rPr>
                <w:rFonts w:hint="eastAsia" w:ascii="Times New Roman" w:hAnsi="Times New Roman"/>
                <w:color w:val="000000"/>
                <w:kern w:val="0"/>
                <w:sz w:val="24"/>
                <w:szCs w:val="24"/>
              </w:rPr>
              <w:t>153</w:t>
            </w:r>
          </w:p>
        </w:tc>
        <w:tc>
          <w:tcPr>
            <w:tcW w:w="5201" w:type="dxa"/>
            <w:tcBorders>
              <w:top w:val="nil"/>
              <w:left w:val="nil"/>
              <w:bottom w:val="single" w:color="auto" w:sz="4" w:space="0"/>
              <w:right w:val="single" w:color="auto" w:sz="4" w:space="0"/>
            </w:tcBorders>
            <w:shd w:val="clear" w:color="auto" w:fill="auto"/>
            <w:vAlign w:val="center"/>
          </w:tcPr>
          <w:p w14:paraId="027875A0">
            <w:pPr>
              <w:widowControl/>
              <w:spacing w:line="600" w:lineRule="exact"/>
              <w:rPr>
                <w:rFonts w:ascii="Times New Roman" w:hAnsi="Times New Roman"/>
                <w:color w:val="000000"/>
                <w:kern w:val="0"/>
                <w:sz w:val="24"/>
                <w:szCs w:val="24"/>
              </w:rPr>
            </w:pPr>
          </w:p>
        </w:tc>
      </w:tr>
    </w:tbl>
    <w:p w14:paraId="6090C3F9">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资金支付范围、支付标准、支付进度、支付依据等合规合法、与预算相符，无截留、挤占、挪用情况。</w:t>
      </w:r>
    </w:p>
    <w:p w14:paraId="72DAA10C">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（三）项目财务管理情况。</w:t>
      </w:r>
    </w:p>
    <w:p w14:paraId="496D39F8">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市文广旅局及资金使用单位财务管理制度较为健全，严格按照《攀枝花市市级旅游发展专项资金管理办法》及相关财务、内部控制等制度，严格遵守财经纪律，执行各项规定制度，及时处理账务，规范会计核算，确保财政资金安全、有效。</w:t>
      </w:r>
    </w:p>
    <w:p w14:paraId="5A5F72E2">
      <w:pPr>
        <w:autoSpaceDE w:val="0"/>
        <w:autoSpaceDN w:val="0"/>
        <w:adjustRightInd w:val="0"/>
        <w:spacing w:line="600" w:lineRule="exact"/>
        <w:ind w:firstLine="640" w:firstLineChars="200"/>
        <w:rPr>
          <w:rFonts w:ascii="Times New Roman" w:hAnsi="Times New Roman" w:eastAsia="黑体"/>
          <w:kern w:val="0"/>
          <w:sz w:val="32"/>
          <w:szCs w:val="32"/>
        </w:rPr>
      </w:pPr>
      <w:r>
        <w:rPr>
          <w:rFonts w:ascii="Times New Roman" w:hAnsi="Times New Roman" w:eastAsia="黑体"/>
          <w:kern w:val="0"/>
          <w:sz w:val="32"/>
          <w:szCs w:val="32"/>
        </w:rPr>
        <w:t>三、项目实施及管理情况</w:t>
      </w:r>
    </w:p>
    <w:p w14:paraId="2257C52D">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（一）项目实施流程。</w:t>
      </w:r>
    </w:p>
    <w:p w14:paraId="5EC40976">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2020</w:t>
      </w:r>
      <w:r>
        <w:rPr>
          <w:rFonts w:ascii="Times New Roman" w:hAnsi="Times New Roman" w:eastAsia="仿宋_GB2312"/>
          <w:kern w:val="0"/>
          <w:sz w:val="32"/>
          <w:szCs w:val="32"/>
        </w:rPr>
        <w:t>年</w:t>
      </w:r>
      <w:r>
        <w:rPr>
          <w:rFonts w:hint="eastAsia" w:ascii="Times New Roman" w:hAnsi="Times New Roman" w:eastAsia="仿宋_GB2312"/>
          <w:kern w:val="0"/>
          <w:sz w:val="32"/>
          <w:szCs w:val="32"/>
        </w:rPr>
        <w:t>12</w:t>
      </w:r>
      <w:r>
        <w:rPr>
          <w:rFonts w:ascii="Times New Roman" w:hAnsi="Times New Roman" w:eastAsia="仿宋_GB2312"/>
          <w:kern w:val="0"/>
          <w:sz w:val="32"/>
          <w:szCs w:val="32"/>
        </w:rPr>
        <w:t>月，市文广旅局、</w:t>
      </w:r>
      <w:r>
        <w:rPr>
          <w:rFonts w:hint="eastAsia" w:ascii="Times New Roman" w:hAnsi="Times New Roman" w:eastAsia="仿宋_GB2312"/>
          <w:kern w:val="0"/>
          <w:sz w:val="32"/>
          <w:szCs w:val="32"/>
        </w:rPr>
        <w:t>盐边县</w:t>
      </w:r>
      <w:r>
        <w:rPr>
          <w:rFonts w:ascii="Times New Roman" w:hAnsi="Times New Roman" w:eastAsia="仿宋_GB2312"/>
          <w:kern w:val="0"/>
          <w:sz w:val="32"/>
          <w:szCs w:val="32"/>
        </w:rPr>
        <w:t>文广旅局完成</w:t>
      </w:r>
      <w:r>
        <w:rPr>
          <w:rFonts w:hint="eastAsia" w:ascii="Times New Roman" w:hAnsi="Times New Roman" w:eastAsia="仿宋_GB2312"/>
          <w:kern w:val="0"/>
          <w:sz w:val="32"/>
          <w:szCs w:val="32"/>
        </w:rPr>
        <w:t>第十一届欢乐阳光节开幕式及相关文化</w:t>
      </w:r>
      <w:r>
        <w:rPr>
          <w:rFonts w:ascii="Times New Roman" w:hAnsi="Times New Roman" w:eastAsia="仿宋_GB2312"/>
          <w:kern w:val="0"/>
          <w:sz w:val="32"/>
          <w:szCs w:val="32"/>
        </w:rPr>
        <w:t>活动</w:t>
      </w:r>
      <w:r>
        <w:rPr>
          <w:rFonts w:hint="eastAsia" w:ascii="Times New Roman" w:hAnsi="Times New Roman" w:eastAsia="仿宋_GB2312"/>
          <w:kern w:val="0"/>
          <w:sz w:val="32"/>
          <w:szCs w:val="32"/>
        </w:rPr>
        <w:t>开展</w:t>
      </w:r>
      <w:r>
        <w:rPr>
          <w:rFonts w:ascii="Times New Roman" w:hAnsi="Times New Roman" w:eastAsia="仿宋_GB2312"/>
          <w:kern w:val="0"/>
          <w:sz w:val="32"/>
          <w:szCs w:val="32"/>
        </w:rPr>
        <w:t>。</w:t>
      </w:r>
    </w:p>
    <w:p w14:paraId="6A26E6CA">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仿宋_GB2312"/>
          <w:kern w:val="0"/>
          <w:sz w:val="32"/>
          <w:szCs w:val="32"/>
        </w:rPr>
        <w:t>20</w:t>
      </w:r>
      <w:r>
        <w:rPr>
          <w:rFonts w:hint="eastAsia" w:ascii="Times New Roman" w:hAnsi="Times New Roman" w:eastAsia="仿宋_GB2312"/>
          <w:kern w:val="0"/>
          <w:sz w:val="32"/>
          <w:szCs w:val="32"/>
        </w:rPr>
        <w:t>20</w:t>
      </w:r>
      <w:r>
        <w:rPr>
          <w:rFonts w:ascii="Times New Roman" w:hAnsi="Times New Roman" w:eastAsia="仿宋_GB2312"/>
          <w:kern w:val="0"/>
          <w:sz w:val="32"/>
          <w:szCs w:val="32"/>
        </w:rPr>
        <w:t>年1</w:t>
      </w:r>
      <w:r>
        <w:rPr>
          <w:rFonts w:hint="eastAsia" w:ascii="Times New Roman" w:hAnsi="Times New Roman" w:eastAsia="仿宋_GB2312"/>
          <w:kern w:val="0"/>
          <w:sz w:val="32"/>
          <w:szCs w:val="32"/>
        </w:rPr>
        <w:t>1</w:t>
      </w:r>
      <w:r>
        <w:rPr>
          <w:rFonts w:ascii="Times New Roman" w:hAnsi="Times New Roman" w:eastAsia="仿宋_GB2312"/>
          <w:kern w:val="0"/>
          <w:sz w:val="32"/>
          <w:szCs w:val="32"/>
        </w:rPr>
        <w:t>月</w:t>
      </w:r>
      <w:r>
        <w:rPr>
          <w:rFonts w:hint="eastAsia" w:ascii="Times New Roman" w:hAnsi="Times New Roman" w:eastAsia="仿宋_GB2312"/>
          <w:kern w:val="0"/>
          <w:sz w:val="32"/>
          <w:szCs w:val="32"/>
        </w:rPr>
        <w:t>—2021年2月</w:t>
      </w:r>
      <w:r>
        <w:rPr>
          <w:rFonts w:ascii="Times New Roman" w:hAnsi="Times New Roman" w:eastAsia="仿宋_GB2312"/>
          <w:kern w:val="0"/>
          <w:sz w:val="32"/>
          <w:szCs w:val="32"/>
        </w:rPr>
        <w:t>，市文化馆</w:t>
      </w:r>
      <w:r>
        <w:rPr>
          <w:rFonts w:hint="eastAsia" w:ascii="Times New Roman" w:hAnsi="Times New Roman" w:eastAsia="仿宋_GB2312"/>
          <w:kern w:val="0"/>
          <w:sz w:val="32"/>
          <w:szCs w:val="32"/>
        </w:rPr>
        <w:t>开展康养文旅精品展，市广播电视台开展第十一届欢乐阳光节线上营销工作。</w:t>
      </w:r>
    </w:p>
    <w:p w14:paraId="5154C413">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（二）项目管理情况。</w:t>
      </w:r>
    </w:p>
    <w:p w14:paraId="056985E6">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各项目实施均严格执行相关法律法规及项目管理制度，涉及到招投标、政府采购、项目公示制等均严格按照相关规定执行。</w:t>
      </w:r>
    </w:p>
    <w:p w14:paraId="2EB1FC8E">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（三）项目监管情况。</w:t>
      </w:r>
    </w:p>
    <w:p w14:paraId="74713F9D">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第十一届欢乐阳光节</w:t>
      </w:r>
      <w:r>
        <w:rPr>
          <w:rFonts w:ascii="Times New Roman" w:hAnsi="Times New Roman" w:eastAsia="仿宋_GB2312"/>
          <w:kern w:val="0"/>
          <w:sz w:val="32"/>
          <w:szCs w:val="32"/>
        </w:rPr>
        <w:t>项目按照《攀枝花市市级旅游发展专项资金管理办法》及相关财务、内部控制等制度</w:t>
      </w:r>
      <w:r>
        <w:rPr>
          <w:rFonts w:hint="eastAsia" w:ascii="Times New Roman" w:hAnsi="Times New Roman" w:eastAsia="仿宋_GB2312"/>
          <w:kern w:val="0"/>
          <w:sz w:val="32"/>
          <w:szCs w:val="32"/>
        </w:rPr>
        <w:t>进行</w:t>
      </w:r>
      <w:r>
        <w:rPr>
          <w:rFonts w:ascii="Times New Roman" w:hAnsi="Times New Roman" w:eastAsia="仿宋_GB2312"/>
          <w:kern w:val="0"/>
          <w:sz w:val="32"/>
          <w:szCs w:val="32"/>
        </w:rPr>
        <w:t>监管，绩效评价过程中未发现</w:t>
      </w:r>
      <w:r>
        <w:rPr>
          <w:rFonts w:hint="eastAsia" w:ascii="Times New Roman" w:hAnsi="Times New Roman" w:eastAsia="仿宋_GB2312"/>
          <w:kern w:val="0"/>
          <w:sz w:val="32"/>
          <w:szCs w:val="32"/>
        </w:rPr>
        <w:t>违规违纪问题。</w:t>
      </w:r>
    </w:p>
    <w:p w14:paraId="48AEAA22">
      <w:pPr>
        <w:autoSpaceDE w:val="0"/>
        <w:autoSpaceDN w:val="0"/>
        <w:adjustRightInd w:val="0"/>
        <w:spacing w:line="600" w:lineRule="exact"/>
        <w:ind w:firstLine="640" w:firstLineChars="200"/>
        <w:rPr>
          <w:rFonts w:ascii="Times New Roman" w:hAnsi="Times New Roman" w:eastAsia="黑体"/>
          <w:kern w:val="0"/>
          <w:sz w:val="32"/>
          <w:szCs w:val="32"/>
        </w:rPr>
      </w:pPr>
      <w:r>
        <w:rPr>
          <w:rFonts w:ascii="Times New Roman" w:hAnsi="Times New Roman" w:eastAsia="黑体"/>
          <w:kern w:val="0"/>
          <w:sz w:val="32"/>
          <w:szCs w:val="32"/>
        </w:rPr>
        <w:t>四、项目绩效情况</w:t>
      </w:r>
    </w:p>
    <w:p w14:paraId="0E826CC8">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（一）项目完成情况。</w:t>
      </w:r>
    </w:p>
    <w:p w14:paraId="156EA7EC">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数量指标：</w:t>
      </w:r>
      <w:r>
        <w:rPr>
          <w:rFonts w:hint="eastAsia" w:ascii="Times New Roman" w:hAnsi="Times New Roman" w:eastAsia="仿宋_GB2312"/>
          <w:kern w:val="0"/>
          <w:sz w:val="32"/>
          <w:szCs w:val="32"/>
        </w:rPr>
        <w:t>举办</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活动</w:t>
      </w:r>
      <w:r>
        <w:rPr>
          <w:rFonts w:ascii="Times New Roman" w:hAnsi="Times New Roman" w:eastAsia="仿宋_GB2312"/>
          <w:kern w:val="0"/>
          <w:sz w:val="32"/>
          <w:szCs w:val="32"/>
        </w:rPr>
        <w:t>。</w:t>
      </w:r>
    </w:p>
    <w:p w14:paraId="73A76CE1">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质量指标：</w:t>
      </w:r>
      <w:r>
        <w:rPr>
          <w:rFonts w:hint="eastAsia" w:ascii="Times New Roman" w:hAnsi="Times New Roman" w:eastAsia="仿宋_GB2312"/>
          <w:kern w:val="0"/>
          <w:sz w:val="32"/>
          <w:szCs w:val="32"/>
        </w:rPr>
        <w:t>圆满完成</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活动，举办康养文旅精品展，开展线上营销活动</w:t>
      </w:r>
      <w:r>
        <w:rPr>
          <w:rFonts w:ascii="Times New Roman" w:hAnsi="Times New Roman" w:eastAsia="仿宋_GB2312"/>
          <w:kern w:val="0"/>
          <w:sz w:val="32"/>
          <w:szCs w:val="32"/>
        </w:rPr>
        <w:t>。</w:t>
      </w:r>
    </w:p>
    <w:p w14:paraId="5D2CDCFD">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时效指标：在规定时间内完成。</w:t>
      </w:r>
    </w:p>
    <w:p w14:paraId="009DBF30">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成本指标：</w:t>
      </w:r>
      <w:r>
        <w:rPr>
          <w:rFonts w:hint="eastAsia" w:ascii="Times New Roman" w:hAnsi="Times New Roman" w:eastAsia="仿宋_GB2312"/>
          <w:kern w:val="0"/>
          <w:sz w:val="32"/>
          <w:szCs w:val="32"/>
        </w:rPr>
        <w:t>经费预算153万元，其中：</w:t>
      </w:r>
      <w:r>
        <w:rPr>
          <w:rFonts w:ascii="Times New Roman" w:hAnsi="Times New Roman" w:eastAsia="仿宋_GB2312"/>
          <w:kern w:val="0"/>
          <w:sz w:val="32"/>
          <w:szCs w:val="32"/>
        </w:rPr>
        <w:t>市文广旅局</w:t>
      </w:r>
      <w:r>
        <w:rPr>
          <w:rFonts w:hint="eastAsia" w:ascii="Times New Roman" w:hAnsi="Times New Roman" w:eastAsia="仿宋_GB2312"/>
          <w:kern w:val="0"/>
          <w:sz w:val="32"/>
          <w:szCs w:val="32"/>
        </w:rPr>
        <w:t>14</w:t>
      </w:r>
      <w:r>
        <w:rPr>
          <w:rFonts w:ascii="Times New Roman" w:hAnsi="Times New Roman" w:eastAsia="仿宋_GB2312"/>
          <w:kern w:val="0"/>
          <w:sz w:val="32"/>
          <w:szCs w:val="32"/>
        </w:rPr>
        <w:t>万元，</w:t>
      </w:r>
      <w:r>
        <w:rPr>
          <w:rFonts w:hint="eastAsia" w:ascii="Times New Roman" w:hAnsi="Times New Roman" w:eastAsia="仿宋_GB2312"/>
          <w:kern w:val="0"/>
          <w:sz w:val="32"/>
          <w:szCs w:val="32"/>
        </w:rPr>
        <w:t>盐边县</w:t>
      </w:r>
      <w:r>
        <w:rPr>
          <w:rFonts w:ascii="Times New Roman" w:hAnsi="Times New Roman" w:eastAsia="仿宋_GB2312"/>
          <w:kern w:val="0"/>
          <w:sz w:val="32"/>
          <w:szCs w:val="32"/>
        </w:rPr>
        <w:t>文广旅局</w:t>
      </w:r>
      <w:r>
        <w:rPr>
          <w:rFonts w:hint="eastAsia" w:ascii="Times New Roman" w:hAnsi="Times New Roman" w:eastAsia="仿宋_GB2312"/>
          <w:kern w:val="0"/>
          <w:sz w:val="32"/>
          <w:szCs w:val="32"/>
        </w:rPr>
        <w:t>60</w:t>
      </w:r>
      <w:r>
        <w:rPr>
          <w:rFonts w:ascii="Times New Roman" w:hAnsi="Times New Roman" w:eastAsia="仿宋_GB2312"/>
          <w:kern w:val="0"/>
          <w:sz w:val="32"/>
          <w:szCs w:val="32"/>
        </w:rPr>
        <w:t>万元</w:t>
      </w:r>
      <w:r>
        <w:rPr>
          <w:rFonts w:hint="eastAsia" w:ascii="Times New Roman" w:hAnsi="Times New Roman" w:eastAsia="仿宋_GB2312"/>
          <w:kern w:val="0"/>
          <w:sz w:val="32"/>
          <w:szCs w:val="32"/>
        </w:rPr>
        <w:t>，</w:t>
      </w:r>
      <w:r>
        <w:rPr>
          <w:rFonts w:ascii="Times New Roman" w:hAnsi="Times New Roman" w:eastAsia="仿宋_GB2312"/>
          <w:kern w:val="0"/>
          <w:sz w:val="32"/>
          <w:szCs w:val="32"/>
        </w:rPr>
        <w:t>市文化馆2</w:t>
      </w:r>
      <w:r>
        <w:rPr>
          <w:rFonts w:hint="eastAsia" w:ascii="Times New Roman" w:hAnsi="Times New Roman" w:eastAsia="仿宋_GB2312"/>
          <w:kern w:val="0"/>
          <w:sz w:val="32"/>
          <w:szCs w:val="32"/>
        </w:rPr>
        <w:t>9</w:t>
      </w:r>
      <w:r>
        <w:rPr>
          <w:rFonts w:ascii="Times New Roman" w:hAnsi="Times New Roman" w:eastAsia="仿宋_GB2312"/>
          <w:kern w:val="0"/>
          <w:sz w:val="32"/>
          <w:szCs w:val="32"/>
        </w:rPr>
        <w:t>万元，市</w:t>
      </w:r>
      <w:r>
        <w:rPr>
          <w:rFonts w:hint="eastAsia" w:ascii="Times New Roman" w:hAnsi="Times New Roman" w:eastAsia="仿宋_GB2312"/>
          <w:kern w:val="0"/>
          <w:sz w:val="32"/>
          <w:szCs w:val="32"/>
        </w:rPr>
        <w:t>广播电视台50</w:t>
      </w:r>
      <w:r>
        <w:rPr>
          <w:rFonts w:ascii="Times New Roman" w:hAnsi="Times New Roman" w:eastAsia="仿宋_GB2312"/>
          <w:kern w:val="0"/>
          <w:sz w:val="32"/>
          <w:szCs w:val="32"/>
        </w:rPr>
        <w:t>万元。</w:t>
      </w:r>
    </w:p>
    <w:p w14:paraId="005A3461">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活动具体完成情况如下：</w:t>
      </w:r>
    </w:p>
    <w:p w14:paraId="0C9D36D9">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仿宋_GB2312" w:eastAsia="仿宋_GB2312"/>
          <w:kern w:val="0"/>
          <w:sz w:val="32"/>
          <w:szCs w:val="32"/>
        </w:rPr>
        <w:t>（</w:t>
      </w:r>
      <w:r>
        <w:rPr>
          <w:rFonts w:ascii="Times New Roman" w:hAnsi="Times New Roman" w:eastAsia="仿宋_GB2312"/>
          <w:kern w:val="0"/>
          <w:sz w:val="32"/>
          <w:szCs w:val="32"/>
        </w:rPr>
        <w:t>1</w:t>
      </w:r>
      <w:r>
        <w:rPr>
          <w:rFonts w:ascii="Times New Roman" w:hAnsi="仿宋_GB2312" w:eastAsia="仿宋_GB2312"/>
          <w:kern w:val="0"/>
          <w:sz w:val="32"/>
          <w:szCs w:val="32"/>
        </w:rPr>
        <w:t>）</w:t>
      </w:r>
      <w:r>
        <w:rPr>
          <w:rFonts w:ascii="Times New Roman" w:hAnsi="Times New Roman" w:eastAsia="仿宋_GB2312"/>
          <w:kern w:val="0"/>
          <w:sz w:val="32"/>
          <w:szCs w:val="32"/>
        </w:rPr>
        <w:t>市文广旅局：</w:t>
      </w:r>
      <w:r>
        <w:rPr>
          <w:rFonts w:hint="eastAsia" w:ascii="Times New Roman" w:hAnsi="Times New Roman" w:eastAsia="仿宋_GB2312"/>
          <w:kern w:val="0"/>
          <w:sz w:val="32"/>
          <w:szCs w:val="32"/>
        </w:rPr>
        <w:t>组织开展</w:t>
      </w: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活动开幕式，指导康养文旅精品展，指导线上营销活动。</w:t>
      </w:r>
    </w:p>
    <w:p w14:paraId="618805AB">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（2）</w:t>
      </w:r>
      <w:r>
        <w:rPr>
          <w:rFonts w:hint="eastAsia" w:ascii="Times New Roman" w:hAnsi="仿宋_GB2312" w:eastAsia="仿宋_GB2312"/>
          <w:kern w:val="0"/>
          <w:sz w:val="32"/>
          <w:szCs w:val="32"/>
        </w:rPr>
        <w:t>盐边县文广旅局</w:t>
      </w:r>
      <w:r>
        <w:rPr>
          <w:rFonts w:ascii="Times New Roman" w:hAnsi="仿宋_GB2312" w:eastAsia="仿宋_GB2312"/>
          <w:kern w:val="0"/>
          <w:sz w:val="32"/>
          <w:szCs w:val="32"/>
        </w:rPr>
        <w:t>：</w:t>
      </w:r>
      <w:r>
        <w:rPr>
          <w:rFonts w:hint="eastAsia" w:ascii="Times New Roman" w:hAnsi="仿宋_GB2312" w:eastAsia="仿宋_GB2312"/>
          <w:kern w:val="0"/>
          <w:sz w:val="32"/>
          <w:szCs w:val="32"/>
        </w:rPr>
        <w:t>完成</w:t>
      </w:r>
      <w:r>
        <w:rPr>
          <w:rFonts w:ascii="Times New Roman" w:hAnsi="Times New Roman" w:eastAsia="仿宋_GB2312"/>
          <w:kern w:val="0"/>
          <w:sz w:val="32"/>
          <w:szCs w:val="32"/>
        </w:rPr>
        <w:t>2020</w:t>
      </w:r>
      <w:r>
        <w:rPr>
          <w:rFonts w:hint="eastAsia" w:ascii="Times New Roman" w:hAnsi="Times New Roman" w:eastAsia="仿宋_GB2312"/>
          <w:kern w:val="0"/>
          <w:sz w:val="32"/>
          <w:szCs w:val="32"/>
        </w:rPr>
        <w:t>年攀枝花市第十一届欢乐阳光节开幕式舞台搭建及文化活动开展，共花费207.2万元，其中市财政补贴60万元，盐边县财政负担147.2万元。</w:t>
      </w:r>
      <w:r>
        <w:rPr>
          <w:rFonts w:ascii="Times New Roman" w:hAnsi="Times New Roman" w:eastAsia="仿宋_GB2312"/>
          <w:spacing w:val="8"/>
          <w:sz w:val="32"/>
          <w:szCs w:val="32"/>
          <w:shd w:val="clear" w:color="auto" w:fill="FFFFFF"/>
        </w:rPr>
        <w:t>2020</w:t>
      </w:r>
      <w:r>
        <w:rPr>
          <w:rFonts w:hint="eastAsia" w:ascii="Times New Roman" w:hAnsi="仿宋_GB2312" w:eastAsia="仿宋_GB2312" w:cs="仿宋_GB2312"/>
          <w:spacing w:val="8"/>
          <w:sz w:val="32"/>
          <w:szCs w:val="32"/>
          <w:shd w:val="clear" w:color="auto" w:fill="FFFFFF"/>
        </w:rPr>
        <w:t>年</w:t>
      </w:r>
      <w:r>
        <w:rPr>
          <w:rFonts w:ascii="Times New Roman" w:hAnsi="Times New Roman" w:eastAsia="仿宋_GB2312"/>
          <w:spacing w:val="8"/>
          <w:sz w:val="32"/>
          <w:szCs w:val="32"/>
          <w:shd w:val="clear" w:color="auto" w:fill="FFFFFF"/>
        </w:rPr>
        <w:t>12</w:t>
      </w:r>
      <w:r>
        <w:rPr>
          <w:rFonts w:hint="eastAsia" w:ascii="Times New Roman" w:hAnsi="仿宋_GB2312" w:eastAsia="仿宋_GB2312" w:cs="仿宋_GB2312"/>
          <w:spacing w:val="8"/>
          <w:sz w:val="32"/>
          <w:szCs w:val="32"/>
          <w:shd w:val="clear" w:color="auto" w:fill="FFFFFF"/>
        </w:rPr>
        <w:t>月</w:t>
      </w:r>
      <w:r>
        <w:rPr>
          <w:rFonts w:ascii="Times New Roman" w:hAnsi="Times New Roman" w:eastAsia="仿宋_GB2312"/>
          <w:spacing w:val="8"/>
          <w:sz w:val="32"/>
          <w:szCs w:val="32"/>
          <w:shd w:val="clear" w:color="auto" w:fill="FFFFFF"/>
        </w:rPr>
        <w:t>1</w:t>
      </w:r>
      <w:r>
        <w:rPr>
          <w:rFonts w:hint="eastAsia" w:ascii="Times New Roman" w:hAnsi="仿宋_GB2312" w:eastAsia="仿宋_GB2312" w:cs="仿宋_GB2312"/>
          <w:spacing w:val="8"/>
          <w:sz w:val="32"/>
          <w:szCs w:val="32"/>
          <w:shd w:val="clear" w:color="auto" w:fill="FFFFFF"/>
        </w:rPr>
        <w:t>日上午，由攀枝花市人民政府、四川省文化和旅游厅共同主办的第十一届攀枝花欢乐阳光节开幕式在红格假日酒店举行。开幕式上，歌曲《太阳在这里唱歌》《攀枝花开红艳艳》《滋味盐边》和舞蹈《绷鼓乐》等精彩节目将欢乐阳光节开幕式推向高潮。发布了集智能化、高科技、城市基因于一体的攀枝花三线建设文创</w:t>
      </w:r>
      <w:r>
        <w:rPr>
          <w:rFonts w:ascii="Times New Roman" w:hAnsi="Times New Roman" w:eastAsia="仿宋_GB2312"/>
          <w:spacing w:val="8"/>
          <w:sz w:val="32"/>
          <w:szCs w:val="32"/>
          <w:shd w:val="clear" w:color="auto" w:fill="FFFFFF"/>
        </w:rPr>
        <w:t>IP</w:t>
      </w:r>
      <w:r>
        <w:rPr>
          <w:rFonts w:hint="eastAsia" w:ascii="Times New Roman" w:hAnsi="仿宋_GB2312" w:eastAsia="仿宋_GB2312" w:cs="仿宋_GB2312"/>
          <w:spacing w:val="8"/>
          <w:sz w:val="32"/>
          <w:szCs w:val="32"/>
          <w:shd w:val="clear" w:color="auto" w:fill="FFFFFF"/>
        </w:rPr>
        <w:t>形象—</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钒钛精灵</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。开幕式当天，</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云贵渝成攀</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康养旅居生活发展联盟举行了成立签约仪式，</w:t>
      </w:r>
      <w:r>
        <w:rPr>
          <w:rFonts w:hint="eastAsia" w:ascii="Times New Roman" w:hAnsi="仿宋_GB2312" w:eastAsia="仿宋_GB2312" w:cs="仿宋_GB2312"/>
          <w:sz w:val="32"/>
          <w:szCs w:val="32"/>
          <w:shd w:val="clear" w:color="auto" w:fill="FFFFFF"/>
        </w:rPr>
        <w:t>该联盟的建立，旨在将攀枝花打造为国际康养旅游目的地，建设为成渝地区阳光康养度假旅游</w:t>
      </w:r>
      <w:r>
        <w:rPr>
          <w:rFonts w:ascii="Times New Roman" w:hAnsi="Times New Roman" w:eastAsia="仿宋_GB2312"/>
          <w:sz w:val="32"/>
          <w:szCs w:val="32"/>
          <w:shd w:val="clear" w:color="auto" w:fill="FFFFFF"/>
        </w:rPr>
        <w:t>“</w:t>
      </w:r>
      <w:r>
        <w:rPr>
          <w:rFonts w:hint="eastAsia" w:ascii="Times New Roman" w:hAnsi="仿宋_GB2312" w:eastAsia="仿宋_GB2312" w:cs="仿宋_GB2312"/>
          <w:sz w:val="32"/>
          <w:szCs w:val="32"/>
          <w:shd w:val="clear" w:color="auto" w:fill="FFFFFF"/>
        </w:rPr>
        <w:t>后花园</w:t>
      </w:r>
      <w:r>
        <w:rPr>
          <w:rFonts w:ascii="Times New Roman" w:hAnsi="Times New Roman" w:eastAsia="仿宋_GB2312"/>
          <w:sz w:val="32"/>
          <w:szCs w:val="32"/>
          <w:shd w:val="clear" w:color="auto" w:fill="FFFFFF"/>
        </w:rPr>
        <w:t>”</w:t>
      </w:r>
      <w:r>
        <w:rPr>
          <w:rFonts w:hint="eastAsia" w:ascii="Times New Roman" w:hAnsi="仿宋_GB2312" w:eastAsia="仿宋_GB2312" w:cs="仿宋_GB2312"/>
          <w:sz w:val="32"/>
          <w:szCs w:val="32"/>
          <w:shd w:val="clear" w:color="auto" w:fill="FFFFFF"/>
        </w:rPr>
        <w:t>，促进西南地区康养旅居美好生活一体化高质量发展。</w:t>
      </w:r>
    </w:p>
    <w:p w14:paraId="5ABA9975">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（3）</w:t>
      </w:r>
      <w:r>
        <w:rPr>
          <w:rFonts w:hint="eastAsia" w:ascii="Times New Roman" w:hAnsi="Times New Roman" w:eastAsia="仿宋_GB2312"/>
          <w:kern w:val="0"/>
          <w:sz w:val="32"/>
          <w:szCs w:val="32"/>
        </w:rPr>
        <w:t>市</w:t>
      </w:r>
      <w:r>
        <w:rPr>
          <w:rFonts w:ascii="Times New Roman" w:hAnsi="Times New Roman" w:eastAsia="仿宋_GB2312"/>
          <w:kern w:val="0"/>
          <w:sz w:val="32"/>
          <w:szCs w:val="32"/>
        </w:rPr>
        <w:t>文化馆：完成了</w:t>
      </w:r>
      <w:r>
        <w:rPr>
          <w:rFonts w:hint="eastAsia" w:ascii="Times New Roman" w:hAnsi="Times New Roman" w:eastAsia="仿宋_GB2312"/>
          <w:kern w:val="0"/>
          <w:sz w:val="32"/>
          <w:szCs w:val="32"/>
        </w:rPr>
        <w:t>康养文旅精品展布展工作</w:t>
      </w:r>
      <w:r>
        <w:rPr>
          <w:rFonts w:ascii="Times New Roman" w:hAnsi="Times New Roman" w:eastAsia="仿宋_GB2312"/>
          <w:kern w:val="0"/>
          <w:sz w:val="32"/>
          <w:szCs w:val="32"/>
        </w:rPr>
        <w:t>，推介</w:t>
      </w:r>
      <w:r>
        <w:rPr>
          <w:rFonts w:hint="eastAsia" w:ascii="Times New Roman" w:hAnsi="Times New Roman" w:eastAsia="仿宋_GB2312"/>
          <w:kern w:val="0"/>
          <w:sz w:val="32"/>
          <w:szCs w:val="32"/>
        </w:rPr>
        <w:t>了</w:t>
      </w:r>
      <w:r>
        <w:rPr>
          <w:rFonts w:ascii="Times New Roman" w:hAnsi="Times New Roman" w:eastAsia="仿宋_GB2312"/>
          <w:kern w:val="0"/>
          <w:sz w:val="32"/>
          <w:szCs w:val="32"/>
        </w:rPr>
        <w:t>攀枝花卓越的阳光康养优势、丰富的阳光旅游资源，展现了攀枝花城市魅力和康养旅游吸引力。</w:t>
      </w:r>
    </w:p>
    <w:p w14:paraId="16857325">
      <w:pPr>
        <w:autoSpaceDE w:val="0"/>
        <w:autoSpaceDN w:val="0"/>
        <w:adjustRightInd w:val="0"/>
        <w:spacing w:line="600" w:lineRule="exact"/>
        <w:ind w:firstLine="640" w:firstLineChars="200"/>
        <w:rPr>
          <w:rFonts w:ascii="Times New Roman" w:hAnsi="仿宋_GB2312" w:eastAsia="仿宋_GB2312" w:cs="仿宋_GB2312"/>
          <w:sz w:val="32"/>
          <w:szCs w:val="32"/>
          <w:shd w:val="clear" w:color="auto" w:fill="FFFFFF"/>
        </w:rPr>
      </w:pPr>
      <w:r>
        <w:rPr>
          <w:rFonts w:ascii="Times New Roman" w:hAnsi="仿宋_GB2312" w:eastAsia="仿宋_GB2312" w:cs="仿宋_GB2312"/>
          <w:sz w:val="32"/>
          <w:szCs w:val="32"/>
          <w:shd w:val="clear" w:color="auto" w:fill="FFFFFF"/>
        </w:rPr>
        <w:t>（4）</w:t>
      </w:r>
      <w:r>
        <w:rPr>
          <w:rFonts w:hint="eastAsia" w:ascii="Times New Roman" w:hAnsi="仿宋_GB2312" w:eastAsia="仿宋_GB2312" w:cs="仿宋_GB2312"/>
          <w:sz w:val="32"/>
          <w:szCs w:val="32"/>
          <w:shd w:val="clear" w:color="auto" w:fill="FFFFFF"/>
        </w:rPr>
        <w:t>市广播电视台：完成了</w:t>
      </w:r>
      <w:r>
        <w:rPr>
          <w:rFonts w:ascii="Times New Roman" w:hAnsi="仿宋_GB2312" w:eastAsia="仿宋_GB2312" w:cs="仿宋_GB2312"/>
          <w:sz w:val="32"/>
          <w:szCs w:val="32"/>
          <w:shd w:val="clear" w:color="auto" w:fill="FFFFFF"/>
        </w:rPr>
        <w:t>第十</w:t>
      </w:r>
      <w:r>
        <w:rPr>
          <w:rFonts w:hint="eastAsia" w:ascii="Times New Roman" w:hAnsi="仿宋_GB2312" w:eastAsia="仿宋_GB2312" w:cs="仿宋_GB2312"/>
          <w:sz w:val="32"/>
          <w:szCs w:val="32"/>
          <w:shd w:val="clear" w:color="auto" w:fill="FFFFFF"/>
        </w:rPr>
        <w:t>一</w:t>
      </w:r>
      <w:r>
        <w:rPr>
          <w:rFonts w:ascii="Times New Roman" w:hAnsi="仿宋_GB2312" w:eastAsia="仿宋_GB2312" w:cs="仿宋_GB2312"/>
          <w:sz w:val="32"/>
          <w:szCs w:val="32"/>
          <w:shd w:val="clear" w:color="auto" w:fill="FFFFFF"/>
        </w:rPr>
        <w:t>届攀枝花欢乐阳光节</w:t>
      </w:r>
      <w:r>
        <w:rPr>
          <w:rFonts w:hint="eastAsia" w:ascii="Times New Roman" w:hAnsi="仿宋_GB2312" w:eastAsia="仿宋_GB2312" w:cs="仿宋_GB2312"/>
          <w:sz w:val="32"/>
          <w:szCs w:val="32"/>
          <w:shd w:val="clear" w:color="auto" w:fill="FFFFFF"/>
        </w:rPr>
        <w:t>通过@浪迹四川微博发布话题，引出攀枝花康养生活及攀枝花特色内容，内容涵盖攀枝花的历史、地理、风土人情、传统习俗、生活方式、文学艺术、价值观念、审美情趣等进行充分地表达与呈现；主流媒体发布了2020年第十一届攀枝花欢乐阳光节活动时间，地点等关键信息；微博达人发布预告海报，微博话题热搜定向四川，微博开屏广告；微博话题造势，将开幕式所有内容整合在话题中，让更多的网友参与其中。开幕式当天，@浪迹四川对整个开幕式进行视频直播；微博达人深度体验红格镇内重点文旅项目，整理形成攻略游记，发布在微博平台；发布新闻通稿@浪迹四川、@新浪微博。</w:t>
      </w:r>
    </w:p>
    <w:p w14:paraId="034E8785">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（二）项目效益情况。</w:t>
      </w:r>
    </w:p>
    <w:p w14:paraId="21EDC9E4">
      <w:pPr>
        <w:pStyle w:val="4"/>
        <w:widowControl/>
        <w:shd w:val="clear" w:color="auto" w:fill="FFFFFF"/>
        <w:spacing w:beforeAutospacing="0" w:afterAutospacing="0" w:line="600" w:lineRule="exact"/>
        <w:ind w:firstLine="672" w:firstLineChars="200"/>
        <w:jc w:val="both"/>
        <w:rPr>
          <w:rFonts w:ascii="Times New Roman" w:hAnsi="Times New Roman" w:eastAsia="仿宋_GB2312"/>
          <w:spacing w:val="8"/>
          <w:sz w:val="32"/>
          <w:szCs w:val="32"/>
          <w:shd w:val="clear" w:color="auto" w:fill="FFFFFF"/>
        </w:rPr>
      </w:pPr>
      <w:r>
        <w:rPr>
          <w:rFonts w:hint="eastAsia" w:ascii="Times New Roman" w:hAnsi="仿宋_GB2312" w:eastAsia="仿宋_GB2312" w:cs="仿宋_GB2312"/>
          <w:spacing w:val="8"/>
          <w:sz w:val="32"/>
          <w:szCs w:val="32"/>
          <w:shd w:val="clear" w:color="auto" w:fill="FFFFFF"/>
        </w:rPr>
        <w:t>自</w:t>
      </w:r>
      <w:r>
        <w:rPr>
          <w:rFonts w:ascii="Times New Roman" w:hAnsi="Times New Roman" w:eastAsia="仿宋_GB2312"/>
          <w:spacing w:val="8"/>
          <w:sz w:val="32"/>
          <w:szCs w:val="32"/>
          <w:shd w:val="clear" w:color="auto" w:fill="FFFFFF"/>
        </w:rPr>
        <w:t>2010</w:t>
      </w:r>
      <w:r>
        <w:rPr>
          <w:rFonts w:hint="eastAsia" w:ascii="Times New Roman" w:hAnsi="仿宋_GB2312" w:eastAsia="仿宋_GB2312" w:cs="仿宋_GB2312"/>
          <w:spacing w:val="8"/>
          <w:sz w:val="32"/>
          <w:szCs w:val="32"/>
          <w:shd w:val="clear" w:color="auto" w:fill="FFFFFF"/>
        </w:rPr>
        <w:t>年以来，攀枝花欢乐阳光节已连续成功举办了十届，被人民网评为</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中国十大品牌节庆活动</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，是攀枝花市重点打造的冬季特色品牌文旅活动，攀枝花市也因此获评</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中国最具特色魅力节庆城市</w:t>
      </w:r>
      <w:r>
        <w:rPr>
          <w:rFonts w:ascii="Times New Roman" w:hAnsi="Times New Roman" w:eastAsia="仿宋_GB2312"/>
          <w:spacing w:val="8"/>
          <w:sz w:val="32"/>
          <w:szCs w:val="32"/>
          <w:shd w:val="clear" w:color="auto" w:fill="FFFFFF"/>
        </w:rPr>
        <w:t>”</w:t>
      </w:r>
      <w:r>
        <w:rPr>
          <w:rFonts w:hint="eastAsia" w:ascii="Times New Roman" w:hAnsi="仿宋_GB2312" w:eastAsia="仿宋_GB2312" w:cs="仿宋_GB2312"/>
          <w:spacing w:val="8"/>
          <w:sz w:val="32"/>
          <w:szCs w:val="32"/>
          <w:shd w:val="clear" w:color="auto" w:fill="FFFFFF"/>
        </w:rPr>
        <w:t>。本届欢乐阳光节是在新冠肺炎疫情防控常态化形势下举办的一次盛大活动，将有力促进我市走出一条独具攀枝花特色和品牌效应的阳光康养高质量可持续发展新路子。本届欢乐阳光节有以下特色跟亮点：</w:t>
      </w:r>
    </w:p>
    <w:p w14:paraId="123B650E">
      <w:pPr>
        <w:adjustRightInd w:val="0"/>
        <w:snapToGrid w:val="0"/>
        <w:spacing w:line="600" w:lineRule="exact"/>
        <w:ind w:firstLine="643" w:firstLineChars="200"/>
        <w:rPr>
          <w:rFonts w:ascii="Times New Roman" w:hAnsi="Times New Roman" w:eastAsia="仿宋_GB2312"/>
          <w:b/>
          <w:bCs/>
          <w:kern w:val="0"/>
          <w:sz w:val="32"/>
          <w:szCs w:val="32"/>
        </w:rPr>
      </w:pPr>
      <w:r>
        <w:rPr>
          <w:rFonts w:hint="eastAsia" w:ascii="Times New Roman" w:hAnsi="Times New Roman" w:eastAsia="楷体_GB2312"/>
          <w:b/>
          <w:bCs/>
          <w:sz w:val="32"/>
          <w:szCs w:val="32"/>
        </w:rPr>
        <w:t>主题鲜明，内容丰富。</w:t>
      </w:r>
      <w:r>
        <w:rPr>
          <w:rFonts w:hint="eastAsia" w:ascii="Times New Roman" w:hAnsi="Times New Roman" w:eastAsia="仿宋_GB2312"/>
          <w:color w:val="000000"/>
          <w:sz w:val="32"/>
          <w:szCs w:val="32"/>
          <w:lang w:val="zh-CN"/>
        </w:rPr>
        <w:t>本届节会紧紧围绕贯彻落实市委工作思路，加快推进国际阳光康养旅游目的地建设这一目标展开，以</w:t>
      </w:r>
      <w:r>
        <w:rPr>
          <w:rFonts w:ascii="Times New Roman" w:hAnsi="Times New Roman" w:eastAsia="仿宋_GB2312"/>
          <w:color w:val="000000"/>
          <w:sz w:val="32"/>
          <w:szCs w:val="32"/>
          <w:lang w:val="zh-CN"/>
        </w:rPr>
        <w:t>“</w:t>
      </w:r>
      <w:r>
        <w:rPr>
          <w:rFonts w:hint="eastAsia" w:ascii="Times New Roman" w:hAnsi="Times New Roman" w:eastAsia="仿宋_GB2312"/>
          <w:color w:val="000000"/>
          <w:sz w:val="32"/>
          <w:szCs w:val="32"/>
          <w:lang w:val="zh-CN"/>
        </w:rPr>
        <w:t>英雄攀枝花阳光康养地</w:t>
      </w:r>
      <w:r>
        <w:rPr>
          <w:rFonts w:ascii="Times New Roman" w:hAnsi="Times New Roman" w:eastAsia="仿宋_GB2312"/>
          <w:color w:val="000000"/>
          <w:sz w:val="32"/>
          <w:szCs w:val="32"/>
          <w:lang w:val="zh-CN"/>
        </w:rPr>
        <w:t>”</w:t>
      </w:r>
      <w:r>
        <w:rPr>
          <w:rFonts w:hint="eastAsia" w:ascii="Times New Roman" w:hAnsi="Times New Roman" w:eastAsia="仿宋_GB2312"/>
          <w:color w:val="000000"/>
          <w:sz w:val="32"/>
          <w:szCs w:val="32"/>
          <w:lang w:val="zh-CN"/>
        </w:rPr>
        <w:t>为主题，突出攀枝花康养和红色旅游特色，</w:t>
      </w:r>
      <w:r>
        <w:rPr>
          <w:rFonts w:ascii="Times New Roman" w:hAnsi="Times New Roman" w:eastAsia="仿宋_GB2312"/>
          <w:color w:val="000000"/>
          <w:sz w:val="32"/>
          <w:szCs w:val="32"/>
          <w:lang w:val="zh-CN"/>
        </w:rPr>
        <w:t>20</w:t>
      </w:r>
      <w:r>
        <w:rPr>
          <w:rFonts w:ascii="Times New Roman" w:hAnsi="Times New Roman" w:eastAsia="仿宋_GB2312"/>
          <w:color w:val="000000"/>
          <w:sz w:val="32"/>
          <w:szCs w:val="32"/>
        </w:rPr>
        <w:t>20</w:t>
      </w:r>
      <w:r>
        <w:rPr>
          <w:rFonts w:hint="eastAsia" w:ascii="Times New Roman" w:hAnsi="Times New Roman" w:eastAsia="仿宋_GB2312"/>
          <w:color w:val="000000"/>
          <w:sz w:val="32"/>
          <w:szCs w:val="32"/>
          <w:lang w:val="zh-CN"/>
        </w:rPr>
        <w:t>第十一届攀枝花欢乐阳光节活动策划内容丰富，时间安排紧凑，活动组织有序。事事从简营造清新氛围，处处彰显节俭务实风尚。大量市民和游客的参与，进一步提升了全市人民的参与率与自豪感。</w:t>
      </w:r>
    </w:p>
    <w:p w14:paraId="607C038C">
      <w:pPr>
        <w:adjustRightInd w:val="0"/>
        <w:snapToGrid w:val="0"/>
        <w:spacing w:line="600" w:lineRule="exact"/>
        <w:ind w:firstLine="643" w:firstLineChars="200"/>
        <w:rPr>
          <w:rFonts w:ascii="Times New Roman" w:hAnsi="Times New Roman" w:eastAsia="仿宋_GB2312"/>
          <w:sz w:val="32"/>
          <w:szCs w:val="32"/>
        </w:rPr>
      </w:pPr>
      <w:r>
        <w:rPr>
          <w:rFonts w:hint="eastAsia" w:ascii="Times New Roman" w:hAnsi="Times New Roman" w:eastAsia="楷体_GB2312"/>
          <w:b/>
          <w:bCs/>
          <w:sz w:val="32"/>
          <w:szCs w:val="32"/>
        </w:rPr>
        <w:t>隆重热烈，创新出彩。</w:t>
      </w:r>
      <w:r>
        <w:rPr>
          <w:rFonts w:hint="eastAsia" w:ascii="Times New Roman" w:hAnsi="Times New Roman" w:eastAsia="仿宋_GB2312"/>
          <w:sz w:val="32"/>
          <w:szCs w:val="32"/>
        </w:rPr>
        <w:t>本届欢乐阳光节开幕式</w:t>
      </w:r>
      <w:r>
        <w:rPr>
          <w:rFonts w:hint="eastAsia" w:ascii="Times New Roman" w:hAnsi="Times New Roman" w:eastAsia="仿宋_GB2312"/>
          <w:color w:val="000000"/>
          <w:sz w:val="32"/>
          <w:szCs w:val="32"/>
        </w:rPr>
        <w:t>现场共约</w:t>
      </w:r>
      <w:r>
        <w:rPr>
          <w:rFonts w:ascii="Times New Roman" w:hAnsi="Times New Roman" w:eastAsia="仿宋_GB2312"/>
          <w:color w:val="000000"/>
          <w:sz w:val="32"/>
          <w:szCs w:val="32"/>
        </w:rPr>
        <w:t>200</w:t>
      </w:r>
      <w:r>
        <w:rPr>
          <w:rFonts w:hint="eastAsia" w:ascii="Times New Roman" w:hAnsi="Times New Roman" w:eastAsia="仿宋_GB2312"/>
          <w:color w:val="000000"/>
          <w:sz w:val="32"/>
          <w:szCs w:val="32"/>
        </w:rPr>
        <w:t>余人，各项系列活动游客参与度极高。</w:t>
      </w:r>
      <w:r>
        <w:rPr>
          <w:rFonts w:hint="eastAsia" w:ascii="Times New Roman" w:hAnsi="Times New Roman" w:eastAsia="仿宋_GB2312"/>
          <w:sz w:val="32"/>
          <w:szCs w:val="32"/>
        </w:rPr>
        <w:t>旗袍表演秀系列活动</w:t>
      </w:r>
      <w:r>
        <w:rPr>
          <w:rFonts w:hint="eastAsia" w:ascii="Times New Roman" w:hAnsi="Times New Roman" w:eastAsia="仿宋_GB2312"/>
          <w:color w:val="000000"/>
          <w:sz w:val="32"/>
          <w:szCs w:val="32"/>
          <w:lang w:val="zh-CN"/>
        </w:rPr>
        <w:t>、</w:t>
      </w:r>
      <w:r>
        <w:rPr>
          <w:rFonts w:hint="eastAsia" w:ascii="Times New Roman" w:hAnsi="Times New Roman" w:eastAsia="仿宋_GB2312"/>
          <w:sz w:val="32"/>
          <w:szCs w:val="32"/>
        </w:rPr>
        <w:t>河门口公园三角梅展</w:t>
      </w:r>
      <w:r>
        <w:rPr>
          <w:rFonts w:hint="eastAsia" w:ascii="Times New Roman" w:hAnsi="Times New Roman" w:eastAsia="仿宋_GB2312"/>
          <w:color w:val="000000"/>
          <w:sz w:val="32"/>
          <w:szCs w:val="32"/>
          <w:lang w:val="zh-CN"/>
        </w:rPr>
        <w:t>、</w:t>
      </w:r>
      <w:r>
        <w:rPr>
          <w:rFonts w:hint="eastAsia" w:ascii="Times New Roman" w:hAnsi="仿宋_GB2312" w:eastAsia="仿宋_GB2312"/>
          <w:sz w:val="32"/>
          <w:szCs w:val="32"/>
        </w:rPr>
        <w:t>米易花会、</w:t>
      </w:r>
      <w:r>
        <w:rPr>
          <w:rFonts w:hint="eastAsia" w:ascii="Times New Roman" w:hAnsi="Times New Roman" w:eastAsia="仿宋_GB2312"/>
          <w:bCs/>
          <w:color w:val="000000"/>
          <w:kern w:val="0"/>
          <w:sz w:val="32"/>
          <w:szCs w:val="32"/>
        </w:rPr>
        <w:t>第十一届苴却砚文化艺术节、</w:t>
      </w:r>
      <w:r>
        <w:rPr>
          <w:rFonts w:hint="eastAsia" w:ascii="Times New Roman" w:eastAsia="仿宋_GB2312"/>
          <w:color w:val="000000"/>
          <w:sz w:val="32"/>
          <w:szCs w:val="32"/>
        </w:rPr>
        <w:t>笮人集市之</w:t>
      </w:r>
      <w:r>
        <w:rPr>
          <w:rFonts w:ascii="Times New Roman" w:hAnsi="Times New Roman" w:eastAsia="仿宋_GB2312"/>
          <w:color w:val="000000"/>
          <w:sz w:val="32"/>
          <w:szCs w:val="32"/>
        </w:rPr>
        <w:t>“</w:t>
      </w:r>
      <w:r>
        <w:rPr>
          <w:rFonts w:hint="eastAsia" w:ascii="Times New Roman" w:eastAsia="仿宋_GB2312"/>
          <w:color w:val="000000"/>
          <w:sz w:val="32"/>
          <w:szCs w:val="32"/>
        </w:rPr>
        <w:t>年越节</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val="zh-CN"/>
        </w:rPr>
        <w:t>等活动</w:t>
      </w:r>
      <w:r>
        <w:rPr>
          <w:rFonts w:hint="eastAsia" w:ascii="Times New Roman" w:hAnsi="Times New Roman" w:eastAsia="仿宋_GB2312"/>
          <w:color w:val="000000"/>
          <w:sz w:val="32"/>
          <w:szCs w:val="32"/>
        </w:rPr>
        <w:t>深受广大群众的喜爱</w:t>
      </w:r>
      <w:r>
        <w:rPr>
          <w:rFonts w:hint="eastAsia" w:ascii="Times New Roman" w:hAnsi="Times New Roman" w:eastAsia="仿宋_GB2312"/>
          <w:bCs/>
          <w:color w:val="000000"/>
          <w:kern w:val="0"/>
          <w:sz w:val="32"/>
          <w:szCs w:val="32"/>
        </w:rPr>
        <w:t>。通过各类美食购物娱乐活动，</w:t>
      </w:r>
      <w:r>
        <w:rPr>
          <w:rFonts w:hint="eastAsia" w:ascii="Times New Roman" w:hAnsi="Times New Roman" w:eastAsia="仿宋_GB2312"/>
          <w:color w:val="000000"/>
          <w:sz w:val="32"/>
          <w:szCs w:val="32"/>
        </w:rPr>
        <w:t>市民与游客被优美的景区环境、精彩的文艺演出、诱人的特色餐饮和良好的服务态度深深吸引，群众认可度高，充分体现了欢乐阳光节</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欢乐</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rPr>
        <w:t>的特质，有</w:t>
      </w:r>
      <w:r>
        <w:rPr>
          <w:rFonts w:hint="eastAsia" w:ascii="Times New Roman" w:hAnsi="Times New Roman" w:eastAsia="仿宋_GB2312"/>
          <w:sz w:val="32"/>
          <w:szCs w:val="32"/>
        </w:rPr>
        <w:t>效提升了</w:t>
      </w:r>
      <w:r>
        <w:rPr>
          <w:rFonts w:ascii="Times New Roman" w:hAnsi="Times New Roman" w:eastAsia="仿宋_GB2312"/>
          <w:sz w:val="32"/>
          <w:szCs w:val="32"/>
        </w:rPr>
        <w:t>“</w:t>
      </w:r>
      <w:r>
        <w:rPr>
          <w:rFonts w:hint="eastAsia" w:ascii="Times New Roman" w:hAnsi="Times New Roman" w:eastAsia="仿宋_GB2312"/>
          <w:sz w:val="32"/>
          <w:szCs w:val="32"/>
        </w:rPr>
        <w:t>英雄攀枝花阳光康养地</w:t>
      </w:r>
      <w:r>
        <w:rPr>
          <w:rFonts w:ascii="Times New Roman" w:hAnsi="Times New Roman" w:eastAsia="仿宋_GB2312"/>
          <w:sz w:val="32"/>
          <w:szCs w:val="32"/>
        </w:rPr>
        <w:t>”</w:t>
      </w:r>
      <w:r>
        <w:rPr>
          <w:rFonts w:hint="eastAsia" w:ascii="Times New Roman" w:hAnsi="Times New Roman" w:eastAsia="仿宋_GB2312"/>
          <w:sz w:val="32"/>
          <w:szCs w:val="32"/>
        </w:rPr>
        <w:t>的知名度。</w:t>
      </w:r>
    </w:p>
    <w:p w14:paraId="7C836319">
      <w:pPr>
        <w:autoSpaceDE w:val="0"/>
        <w:autoSpaceDN w:val="0"/>
        <w:adjustRightInd w:val="0"/>
        <w:spacing w:line="600" w:lineRule="exact"/>
        <w:ind w:firstLine="643" w:firstLineChars="200"/>
        <w:rPr>
          <w:rFonts w:ascii="Times New Roman" w:hAnsi="Times New Roman" w:eastAsia="仿宋_GB2312"/>
          <w:color w:val="000000"/>
          <w:sz w:val="32"/>
          <w:szCs w:val="32"/>
          <w:lang w:val="zh-CN"/>
        </w:rPr>
      </w:pPr>
      <w:r>
        <w:rPr>
          <w:rFonts w:hint="eastAsia" w:ascii="Times New Roman" w:hAnsi="Times New Roman" w:eastAsia="楷体_GB2312"/>
          <w:b/>
          <w:bCs/>
          <w:sz w:val="32"/>
          <w:szCs w:val="32"/>
        </w:rPr>
        <w:t>媒体聚焦，宣传广泛。</w:t>
      </w:r>
      <w:r>
        <w:rPr>
          <w:rFonts w:hint="eastAsia" w:ascii="Times New Roman" w:hAnsi="Times New Roman" w:eastAsia="仿宋_GB2312"/>
          <w:color w:val="000000"/>
          <w:sz w:val="32"/>
          <w:szCs w:val="32"/>
          <w:lang w:val="zh-CN"/>
        </w:rPr>
        <w:t>本届欢乐阳光节，邀请中央、省、市新闻媒体</w:t>
      </w:r>
      <w:r>
        <w:rPr>
          <w:rFonts w:ascii="Times New Roman" w:hAnsi="Times New Roman" w:eastAsia="仿宋_GB2312"/>
          <w:color w:val="000000"/>
          <w:sz w:val="32"/>
          <w:szCs w:val="32"/>
        </w:rPr>
        <w:t>2</w:t>
      </w:r>
      <w:r>
        <w:rPr>
          <w:rFonts w:ascii="Times New Roman" w:hAnsi="Times New Roman" w:eastAsia="仿宋_GB2312"/>
          <w:color w:val="000000"/>
          <w:sz w:val="32"/>
          <w:szCs w:val="32"/>
          <w:lang w:val="zh-CN"/>
        </w:rPr>
        <w:t>0</w:t>
      </w:r>
      <w:r>
        <w:rPr>
          <w:rFonts w:hint="eastAsia" w:ascii="Times New Roman" w:hAnsi="Times New Roman" w:eastAsia="仿宋_GB2312"/>
          <w:color w:val="000000"/>
          <w:sz w:val="32"/>
          <w:szCs w:val="32"/>
          <w:lang w:val="zh-CN"/>
        </w:rPr>
        <w:t>余家，精准聚焦目标人群、精准投送目标媒体。</w:t>
      </w:r>
      <w:r>
        <w:rPr>
          <w:rFonts w:hint="eastAsia" w:ascii="Times New Roman" w:hAnsi="仿宋_GB2312" w:eastAsia="仿宋_GB2312"/>
          <w:sz w:val="32"/>
          <w:szCs w:val="32"/>
        </w:rPr>
        <w:t>人民网、新华网、中新社、四川发布等数十家主流官方媒体及新浪网、凤凰网等门户网站对本次活动进行广泛报道，大幅度增强了全国人</w:t>
      </w:r>
      <w:r>
        <w:rPr>
          <w:rFonts w:hint="eastAsia" w:ascii="Times New Roman" w:hAnsi="仿宋_GB2312" w:eastAsia="仿宋_GB2312"/>
          <w:sz w:val="32"/>
          <w:szCs w:val="32"/>
          <w:lang w:val="en-US" w:eastAsia="zh-CN"/>
        </w:rPr>
        <w:t>民</w:t>
      </w:r>
      <w:r>
        <w:rPr>
          <w:rFonts w:hint="eastAsia" w:ascii="Times New Roman" w:hAnsi="仿宋_GB2312" w:eastAsia="仿宋_GB2312"/>
          <w:sz w:val="32"/>
          <w:szCs w:val="32"/>
        </w:rPr>
        <w:t>对于攀枝花的城市印象</w:t>
      </w:r>
      <w:r>
        <w:rPr>
          <w:rFonts w:hint="eastAsia" w:ascii="Times New Roman" w:hAnsi="Times New Roman" w:eastAsia="仿宋_GB2312"/>
          <w:sz w:val="32"/>
          <w:szCs w:val="32"/>
        </w:rPr>
        <w:t>。</w:t>
      </w:r>
      <w:r>
        <w:rPr>
          <w:rFonts w:hint="eastAsia" w:ascii="Times New Roman" w:hAnsi="Times New Roman" w:eastAsia="仿宋_GB2312"/>
          <w:color w:val="000000"/>
          <w:sz w:val="32"/>
          <w:szCs w:val="32"/>
          <w:lang w:val="zh-CN"/>
        </w:rPr>
        <w:t>据统计</w:t>
      </w:r>
      <w:r>
        <w:rPr>
          <w:rFonts w:hint="eastAsia" w:ascii="Times New Roman" w:hAnsi="Times New Roman" w:eastAsia="仿宋_GB2312"/>
          <w:color w:val="000000"/>
          <w:sz w:val="32"/>
          <w:szCs w:val="32"/>
        </w:rPr>
        <w:t>，</w:t>
      </w:r>
      <w:r>
        <w:rPr>
          <w:rFonts w:hint="eastAsia" w:ascii="Times New Roman" w:hAnsi="Times New Roman" w:eastAsia="仿宋_GB2312"/>
          <w:color w:val="000000"/>
          <w:sz w:val="32"/>
          <w:szCs w:val="32"/>
          <w:lang w:val="zh-CN"/>
        </w:rPr>
        <w:t>欢乐阳光节开幕式点击就超</w:t>
      </w:r>
      <w:r>
        <w:rPr>
          <w:rFonts w:ascii="Times New Roman" w:hAnsi="Times New Roman" w:eastAsia="仿宋_GB2312"/>
          <w:color w:val="000000"/>
          <w:sz w:val="32"/>
          <w:szCs w:val="32"/>
        </w:rPr>
        <w:t>250</w:t>
      </w:r>
      <w:r>
        <w:rPr>
          <w:rFonts w:hint="eastAsia" w:ascii="Times New Roman" w:hAnsi="Times New Roman" w:eastAsia="仿宋_GB2312"/>
          <w:color w:val="000000"/>
          <w:sz w:val="32"/>
          <w:szCs w:val="32"/>
          <w:lang w:val="zh-CN"/>
        </w:rPr>
        <w:t>万人次</w:t>
      </w:r>
      <w:r>
        <w:rPr>
          <w:rFonts w:hint="eastAsia" w:ascii="Times New Roman" w:hAnsi="Times New Roman" w:eastAsia="仿宋_GB2312"/>
          <w:color w:val="000000"/>
          <w:sz w:val="32"/>
          <w:szCs w:val="32"/>
        </w:rPr>
        <w:t>，</w:t>
      </w:r>
      <w:r>
        <w:rPr>
          <w:rFonts w:hint="eastAsia" w:ascii="Times New Roman" w:hAnsi="仿宋_GB2312" w:eastAsia="仿宋_GB2312"/>
          <w:bCs/>
          <w:sz w:val="32"/>
          <w:szCs w:val="32"/>
        </w:rPr>
        <w:t>活动当日</w:t>
      </w:r>
      <w:r>
        <w:rPr>
          <w:rFonts w:hint="eastAsia" w:ascii="Times New Roman" w:hAnsi="仿宋_GB2312" w:eastAsia="仿宋_GB2312"/>
          <w:sz w:val="32"/>
          <w:szCs w:val="32"/>
        </w:rPr>
        <w:t>由新浪四川百万级旅游账号</w:t>
      </w:r>
      <w:r>
        <w:rPr>
          <w:rFonts w:ascii="Times New Roman" w:hAnsi="Times New Roman" w:eastAsia="仿宋_GB2312"/>
          <w:sz w:val="32"/>
          <w:szCs w:val="32"/>
        </w:rPr>
        <w:t>-@</w:t>
      </w:r>
      <w:r>
        <w:rPr>
          <w:rFonts w:hint="eastAsia" w:ascii="Times New Roman" w:hAnsi="仿宋_GB2312" w:eastAsia="仿宋_GB2312"/>
          <w:sz w:val="32"/>
          <w:szCs w:val="32"/>
        </w:rPr>
        <w:t>浪迹四川对本次活动进行全程直播，吸引其上百万的粉丝对本次活动给予关注，直播观看量高达</w:t>
      </w:r>
      <w:r>
        <w:rPr>
          <w:rFonts w:ascii="Times New Roman" w:hAnsi="Times New Roman" w:eastAsia="仿宋_GB2312"/>
          <w:sz w:val="32"/>
          <w:szCs w:val="32"/>
        </w:rPr>
        <w:t>170</w:t>
      </w:r>
      <w:r>
        <w:rPr>
          <w:rFonts w:hint="eastAsia" w:ascii="Times New Roman" w:hAnsi="仿宋_GB2312" w:eastAsia="仿宋_GB2312"/>
          <w:sz w:val="32"/>
          <w:szCs w:val="32"/>
        </w:rPr>
        <w:t>万</w:t>
      </w:r>
      <w:bookmarkStart w:id="0" w:name="_GoBack"/>
      <w:bookmarkEnd w:id="0"/>
      <w:r>
        <w:rPr>
          <w:rFonts w:ascii="Times New Roman" w:hAnsi="Times New Roman" w:eastAsia="仿宋_GB2312"/>
          <w:sz w:val="32"/>
          <w:szCs w:val="32"/>
        </w:rPr>
        <w:t>+</w:t>
      </w:r>
      <w:r>
        <w:rPr>
          <w:rFonts w:hint="eastAsia" w:ascii="Times New Roman" w:hAnsi="仿宋_GB2312" w:eastAsia="仿宋_GB2312"/>
          <w:sz w:val="32"/>
          <w:szCs w:val="32"/>
        </w:rPr>
        <w:t>。</w:t>
      </w:r>
      <w:r>
        <w:rPr>
          <w:rFonts w:hint="eastAsia" w:ascii="Times New Roman" w:hAnsi="Times New Roman" w:eastAsia="仿宋_GB2312"/>
          <w:sz w:val="32"/>
          <w:szCs w:val="32"/>
          <w:lang w:val="zh-CN"/>
        </w:rPr>
        <w:t>截止</w:t>
      </w:r>
      <w:r>
        <w:rPr>
          <w:rFonts w:ascii="Times New Roman" w:hAnsi="Times New Roman" w:eastAsia="仿宋_GB2312"/>
          <w:sz w:val="32"/>
          <w:szCs w:val="32"/>
        </w:rPr>
        <w:t>2</w:t>
      </w:r>
      <w:r>
        <w:rPr>
          <w:rFonts w:hint="eastAsia" w:ascii="Times New Roman" w:hAnsi="Times New Roman" w:eastAsia="仿宋_GB2312"/>
          <w:sz w:val="32"/>
          <w:szCs w:val="32"/>
          <w:lang w:val="zh-CN"/>
        </w:rPr>
        <w:t>月初，有关本届欢乐阳光节的直发新闻报道近</w:t>
      </w:r>
      <w:r>
        <w:rPr>
          <w:rFonts w:ascii="Times New Roman" w:hAnsi="Times New Roman" w:eastAsia="仿宋_GB2312"/>
          <w:sz w:val="32"/>
          <w:szCs w:val="32"/>
          <w:lang w:val="zh-CN"/>
        </w:rPr>
        <w:t>50</w:t>
      </w:r>
      <w:r>
        <w:rPr>
          <w:rFonts w:hint="eastAsia" w:ascii="Times New Roman" w:hAnsi="Times New Roman" w:eastAsia="仿宋_GB2312"/>
          <w:sz w:val="32"/>
          <w:szCs w:val="32"/>
          <w:lang w:val="zh-CN"/>
        </w:rPr>
        <w:t>篇，总点击超</w:t>
      </w:r>
      <w:r>
        <w:rPr>
          <w:rFonts w:ascii="Times New Roman" w:hAnsi="Times New Roman" w:eastAsia="仿宋_GB2312"/>
          <w:sz w:val="32"/>
          <w:szCs w:val="32"/>
        </w:rPr>
        <w:t>520</w:t>
      </w:r>
      <w:r>
        <w:rPr>
          <w:rFonts w:ascii="Times New Roman" w:hAnsi="Times New Roman" w:eastAsia="仿宋_GB2312"/>
          <w:sz w:val="32"/>
          <w:szCs w:val="32"/>
          <w:lang w:val="zh-CN"/>
        </w:rPr>
        <w:t>.</w:t>
      </w:r>
      <w:r>
        <w:rPr>
          <w:rFonts w:ascii="Times New Roman" w:hAnsi="Times New Roman" w:eastAsia="仿宋_GB2312"/>
          <w:sz w:val="32"/>
          <w:szCs w:val="32"/>
        </w:rPr>
        <w:t>7</w:t>
      </w:r>
      <w:r>
        <w:rPr>
          <w:rFonts w:hint="eastAsia" w:ascii="Times New Roman" w:hAnsi="Times New Roman" w:eastAsia="仿宋_GB2312"/>
          <w:sz w:val="32"/>
          <w:szCs w:val="32"/>
          <w:lang w:val="zh-CN"/>
        </w:rPr>
        <w:t>万人次。</w:t>
      </w:r>
      <w:r>
        <w:rPr>
          <w:rFonts w:hint="eastAsia" w:ascii="Times New Roman" w:hAnsi="Times New Roman" w:eastAsia="仿宋_GB2312"/>
          <w:color w:val="0C0C0C"/>
          <w:sz w:val="32"/>
          <w:szCs w:val="32"/>
        </w:rPr>
        <w:t>旗袍表演秀</w:t>
      </w:r>
      <w:r>
        <w:rPr>
          <w:rFonts w:hint="eastAsia" w:ascii="Times New Roman" w:hAnsi="Times New Roman" w:eastAsia="仿宋_GB2312"/>
          <w:snapToGrid w:val="0"/>
          <w:sz w:val="32"/>
          <w:szCs w:val="32"/>
        </w:rPr>
        <w:t>、</w:t>
      </w:r>
      <w:r>
        <w:rPr>
          <w:rFonts w:hint="eastAsia" w:ascii="Times New Roman" w:hAnsi="Times New Roman" w:eastAsia="仿宋_GB2312"/>
          <w:bCs/>
          <w:color w:val="000000"/>
          <w:kern w:val="0"/>
          <w:sz w:val="32"/>
          <w:szCs w:val="32"/>
        </w:rPr>
        <w:t>第十一届苴却砚文化艺术节、米易花会、笮人集市等</w:t>
      </w:r>
      <w:r>
        <w:rPr>
          <w:rFonts w:hint="eastAsia" w:ascii="Times New Roman" w:hAnsi="Times New Roman" w:eastAsia="仿宋_GB2312"/>
          <w:color w:val="0C0C0C"/>
          <w:sz w:val="32"/>
          <w:szCs w:val="32"/>
        </w:rPr>
        <w:t>系列配套活</w:t>
      </w:r>
      <w:r>
        <w:rPr>
          <w:rFonts w:hint="eastAsia" w:ascii="Times New Roman" w:hAnsi="Times New Roman" w:eastAsia="仿宋_GB2312"/>
          <w:color w:val="000000"/>
          <w:sz w:val="32"/>
          <w:szCs w:val="32"/>
          <w:lang w:val="zh-CN"/>
        </w:rPr>
        <w:t>动相互促进，互为辉映，使攀枝花作为阳光康养旅游城市的形象更加全面、具体，进一步提升</w:t>
      </w:r>
      <w:r>
        <w:rPr>
          <w:rFonts w:ascii="Times New Roman" w:hAnsi="Times New Roman" w:eastAsia="仿宋_GB2312"/>
          <w:color w:val="000000"/>
          <w:sz w:val="32"/>
          <w:szCs w:val="32"/>
          <w:lang w:val="zh-CN"/>
        </w:rPr>
        <w:t>“</w:t>
      </w:r>
      <w:r>
        <w:rPr>
          <w:rFonts w:hint="eastAsia" w:ascii="Times New Roman" w:hAnsi="Times New Roman" w:eastAsia="仿宋_GB2312"/>
          <w:color w:val="000000"/>
          <w:sz w:val="32"/>
          <w:szCs w:val="32"/>
          <w:lang w:val="zh-CN"/>
        </w:rPr>
        <w:t>英雄攀枝花阳光康养地</w:t>
      </w:r>
      <w:r>
        <w:rPr>
          <w:rFonts w:ascii="Times New Roman" w:hAnsi="Times New Roman" w:eastAsia="仿宋_GB2312"/>
          <w:color w:val="000000"/>
          <w:sz w:val="32"/>
          <w:szCs w:val="32"/>
          <w:lang w:val="zh-CN"/>
        </w:rPr>
        <w:t>”</w:t>
      </w:r>
      <w:r>
        <w:rPr>
          <w:rFonts w:hint="eastAsia" w:ascii="Times New Roman" w:hAnsi="Times New Roman" w:eastAsia="仿宋_GB2312"/>
          <w:color w:val="000000"/>
          <w:sz w:val="32"/>
          <w:szCs w:val="32"/>
          <w:lang w:val="zh-CN"/>
        </w:rPr>
        <w:t>全国知名度和影响力，打响阳光康养旅游品牌。</w:t>
      </w:r>
    </w:p>
    <w:p w14:paraId="1ACE330C">
      <w:pPr>
        <w:autoSpaceDE w:val="0"/>
        <w:autoSpaceDN w:val="0"/>
        <w:adjustRightInd w:val="0"/>
        <w:spacing w:line="600" w:lineRule="exact"/>
        <w:ind w:firstLine="640" w:firstLineChars="200"/>
        <w:rPr>
          <w:rFonts w:ascii="Times New Roman" w:hAnsi="Times New Roman" w:eastAsia="仿宋_GB2312"/>
          <w:color w:val="000000"/>
          <w:sz w:val="32"/>
          <w:szCs w:val="32"/>
          <w:lang w:val="zh-CN"/>
        </w:rPr>
      </w:pPr>
      <w:r>
        <w:rPr>
          <w:rFonts w:hint="eastAsia" w:ascii="Times New Roman" w:hAnsi="Times New Roman" w:eastAsia="仿宋_GB2312"/>
          <w:color w:val="000000"/>
          <w:sz w:val="32"/>
          <w:szCs w:val="32"/>
          <w:lang w:val="zh-CN"/>
        </w:rPr>
        <w:t>项目效益具体如下：</w:t>
      </w:r>
    </w:p>
    <w:p w14:paraId="0F1ABCB3">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eastAsia="仿宋_GB2312"/>
          <w:sz w:val="32"/>
          <w:szCs w:val="32"/>
        </w:rPr>
        <w:t>1．经济效益。促进文旅经济快速健康发展。</w:t>
      </w:r>
    </w:p>
    <w:p w14:paraId="0DC3A261">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eastAsia="仿宋_GB2312"/>
          <w:sz w:val="32"/>
          <w:szCs w:val="32"/>
        </w:rPr>
        <w:t>2．社会效益。</w:t>
      </w:r>
      <w:r>
        <w:rPr>
          <w:rFonts w:hint="eastAsia" w:eastAsia="仿宋_GB2312"/>
          <w:sz w:val="32"/>
          <w:szCs w:val="32"/>
        </w:rPr>
        <w:t>大力提升攀枝花城市形象、进一步提高了攀枝花市知名度、美誉度</w:t>
      </w:r>
      <w:r>
        <w:rPr>
          <w:rFonts w:ascii="Times New Roman" w:hAnsi="Times New Roman" w:eastAsia="仿宋_GB2312"/>
          <w:kern w:val="0"/>
          <w:sz w:val="32"/>
          <w:szCs w:val="32"/>
        </w:rPr>
        <w:t>；文旅形象、城市竞争力不断提升。</w:t>
      </w:r>
    </w:p>
    <w:p w14:paraId="1A52D4C7">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eastAsia="仿宋_GB2312"/>
          <w:sz w:val="32"/>
          <w:szCs w:val="32"/>
        </w:rPr>
        <w:t>3．可持续影响指标。</w:t>
      </w:r>
      <w:r>
        <w:rPr>
          <w:rFonts w:ascii="Times New Roman" w:hAnsi="Times New Roman" w:eastAsia="仿宋_GB2312"/>
          <w:kern w:val="0"/>
          <w:sz w:val="32"/>
          <w:szCs w:val="32"/>
        </w:rPr>
        <w:t>推动攀枝花文化旅游高质量发展，建设文化旅游高地。</w:t>
      </w:r>
    </w:p>
    <w:p w14:paraId="3BEC67C4">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仿宋_GB2312" w:hAnsi="仿宋" w:eastAsia="仿宋_GB2312"/>
          <w:sz w:val="32"/>
          <w:szCs w:val="32"/>
        </w:rPr>
        <w:t>4．满意度指标。</w:t>
      </w:r>
      <w:r>
        <w:rPr>
          <w:rFonts w:hint="eastAsia" w:ascii="仿宋_GB2312" w:hAnsi="仿宋" w:eastAsia="仿宋_GB2312"/>
          <w:sz w:val="32"/>
          <w:szCs w:val="32"/>
        </w:rPr>
        <w:t>塑造“英雄攀枝花 阳光康养地”的城市整体形象，</w:t>
      </w:r>
      <w:r>
        <w:rPr>
          <w:rFonts w:hint="eastAsia" w:eastAsia="仿宋_GB2312"/>
          <w:sz w:val="32"/>
          <w:szCs w:val="32"/>
        </w:rPr>
        <w:t>打造冬季特色品牌文旅活动</w:t>
      </w:r>
      <w:r>
        <w:rPr>
          <w:rFonts w:ascii="Times New Roman" w:hAnsi="Times New Roman" w:eastAsia="仿宋_GB2312"/>
          <w:kern w:val="0"/>
          <w:sz w:val="32"/>
          <w:szCs w:val="32"/>
        </w:rPr>
        <w:t>，群众和游客满意度显著提高。</w:t>
      </w:r>
    </w:p>
    <w:p w14:paraId="266864B8">
      <w:pPr>
        <w:autoSpaceDE w:val="0"/>
        <w:autoSpaceDN w:val="0"/>
        <w:adjustRightInd w:val="0"/>
        <w:spacing w:line="600" w:lineRule="exact"/>
        <w:ind w:firstLine="640" w:firstLineChars="200"/>
        <w:rPr>
          <w:rFonts w:ascii="Times New Roman" w:hAnsi="Times New Roman" w:eastAsia="黑体"/>
          <w:kern w:val="0"/>
          <w:sz w:val="32"/>
          <w:szCs w:val="32"/>
        </w:rPr>
      </w:pPr>
      <w:r>
        <w:rPr>
          <w:rFonts w:ascii="Times New Roman" w:hAnsi="Times New Roman" w:eastAsia="黑体"/>
          <w:kern w:val="0"/>
          <w:sz w:val="32"/>
          <w:szCs w:val="32"/>
        </w:rPr>
        <w:t>五、评价结论及建议</w:t>
      </w:r>
    </w:p>
    <w:p w14:paraId="1A4245CD">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（一）评价结论。</w:t>
      </w:r>
    </w:p>
    <w:p w14:paraId="64EB5E15">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w:t>
      </w:r>
      <w:r>
        <w:rPr>
          <w:rFonts w:hint="eastAsia" w:ascii="Times New Roman" w:hAnsi="Times New Roman" w:eastAsia="仿宋_GB2312"/>
          <w:kern w:val="0"/>
          <w:sz w:val="32"/>
          <w:szCs w:val="32"/>
        </w:rPr>
        <w:t>活动</w:t>
      </w:r>
      <w:r>
        <w:rPr>
          <w:rFonts w:ascii="Times New Roman" w:hAnsi="Times New Roman" w:eastAsia="仿宋_GB2312"/>
          <w:kern w:val="0"/>
          <w:sz w:val="32"/>
          <w:szCs w:val="32"/>
        </w:rPr>
        <w:t>经费项目绩效指标基本达到了预期设定的目标值，绩效目标完成较好</w:t>
      </w:r>
      <w:r>
        <w:rPr>
          <w:rFonts w:hint="eastAsia" w:ascii="Times New Roman" w:hAnsi="Times New Roman" w:eastAsia="仿宋_GB2312"/>
          <w:kern w:val="0"/>
          <w:sz w:val="32"/>
          <w:szCs w:val="32"/>
        </w:rPr>
        <w:t>，</w:t>
      </w:r>
      <w:r>
        <w:rPr>
          <w:rFonts w:ascii="Times New Roman" w:hAnsi="Times New Roman" w:eastAsia="仿宋_GB2312"/>
          <w:kern w:val="0"/>
          <w:sz w:val="32"/>
          <w:szCs w:val="32"/>
        </w:rPr>
        <w:t>通过现场评价，综合纪检监察、审计监督、财政检查、舆论舆情等各方面反映，</w:t>
      </w:r>
      <w:r>
        <w:rPr>
          <w:rFonts w:hint="eastAsia" w:ascii="Times New Roman" w:hAnsi="Times New Roman" w:eastAsia="仿宋_GB2312"/>
          <w:kern w:val="0"/>
          <w:sz w:val="32"/>
          <w:szCs w:val="32"/>
        </w:rPr>
        <w:t>该项目</w:t>
      </w:r>
      <w:r>
        <w:rPr>
          <w:rFonts w:ascii="Times New Roman" w:hAnsi="Times New Roman" w:eastAsia="仿宋_GB2312"/>
          <w:kern w:val="0"/>
          <w:sz w:val="32"/>
          <w:szCs w:val="32"/>
        </w:rPr>
        <w:t>绩效评价考核得分为98分</w:t>
      </w:r>
      <w:r>
        <w:rPr>
          <w:rFonts w:hint="eastAsia" w:ascii="Times New Roman" w:hAnsi="Times New Roman" w:eastAsia="仿宋_GB2312"/>
          <w:kern w:val="0"/>
          <w:sz w:val="32"/>
          <w:szCs w:val="32"/>
        </w:rPr>
        <w:t>（详见</w:t>
      </w:r>
      <w:r>
        <w:rPr>
          <w:rFonts w:ascii="Times New Roman" w:hAnsi="Times New Roman" w:eastAsia="仿宋_GB2312"/>
          <w:kern w:val="0"/>
          <w:sz w:val="32"/>
          <w:szCs w:val="32"/>
        </w:rPr>
        <w:t>下表</w:t>
      </w:r>
      <w:r>
        <w:rPr>
          <w:rFonts w:hint="eastAsia" w:ascii="Times New Roman" w:hAnsi="Times New Roman" w:eastAsia="仿宋_GB2312"/>
          <w:kern w:val="0"/>
          <w:sz w:val="32"/>
          <w:szCs w:val="32"/>
        </w:rPr>
        <w:t>）</w:t>
      </w:r>
      <w:r>
        <w:rPr>
          <w:rFonts w:ascii="Times New Roman" w:hAnsi="Times New Roman" w:eastAsia="仿宋_GB2312"/>
          <w:kern w:val="0"/>
          <w:sz w:val="32"/>
          <w:szCs w:val="32"/>
        </w:rPr>
        <w:t>。</w:t>
      </w:r>
    </w:p>
    <w:p w14:paraId="58094071">
      <w:pPr>
        <w:autoSpaceDE w:val="0"/>
        <w:autoSpaceDN w:val="0"/>
        <w:adjustRightInd w:val="0"/>
        <w:spacing w:line="600" w:lineRule="exact"/>
        <w:ind w:firstLine="640" w:firstLineChars="200"/>
        <w:rPr>
          <w:rFonts w:ascii="Times New Roman" w:hAnsi="Times New Roman" w:eastAsia="仿宋_GB2312"/>
          <w:kern w:val="0"/>
          <w:sz w:val="32"/>
          <w:szCs w:val="32"/>
        </w:rPr>
      </w:pPr>
    </w:p>
    <w:tbl>
      <w:tblPr>
        <w:tblStyle w:val="5"/>
        <w:tblW w:w="0" w:type="auto"/>
        <w:tblInd w:w="635" w:type="dxa"/>
        <w:tblLayout w:type="fixed"/>
        <w:tblCellMar>
          <w:top w:w="0" w:type="dxa"/>
          <w:left w:w="108" w:type="dxa"/>
          <w:bottom w:w="0" w:type="dxa"/>
          <w:right w:w="108" w:type="dxa"/>
        </w:tblCellMar>
      </w:tblPr>
      <w:tblGrid>
        <w:gridCol w:w="1458"/>
        <w:gridCol w:w="2116"/>
        <w:gridCol w:w="2126"/>
        <w:gridCol w:w="1286"/>
        <w:gridCol w:w="1276"/>
      </w:tblGrid>
      <w:tr w14:paraId="131CD303">
        <w:tblPrEx>
          <w:tblCellMar>
            <w:top w:w="0" w:type="dxa"/>
            <w:left w:w="108" w:type="dxa"/>
            <w:bottom w:w="0" w:type="dxa"/>
            <w:right w:w="108" w:type="dxa"/>
          </w:tblCellMar>
        </w:tblPrEx>
        <w:trPr>
          <w:trHeight w:val="586" w:hRule="atLeast"/>
        </w:trPr>
        <w:tc>
          <w:tcPr>
            <w:tcW w:w="1458" w:type="dxa"/>
            <w:tcBorders>
              <w:top w:val="single" w:color="auto" w:sz="12" w:space="0"/>
              <w:left w:val="single" w:color="auto" w:sz="12" w:space="0"/>
              <w:bottom w:val="single" w:color="auto" w:sz="12" w:space="0"/>
              <w:right w:val="single" w:color="auto" w:sz="12" w:space="0"/>
            </w:tcBorders>
          </w:tcPr>
          <w:p w14:paraId="1E7C359B">
            <w:pPr>
              <w:autoSpaceDE w:val="0"/>
              <w:autoSpaceDN w:val="0"/>
              <w:adjustRightInd w:val="0"/>
              <w:jc w:val="left"/>
              <w:rPr>
                <w:rFonts w:ascii="宋体" w:cs="宋体" w:hAnsiTheme="minorHAnsi"/>
                <w:b/>
                <w:bCs/>
                <w:color w:val="000000"/>
                <w:kern w:val="0"/>
                <w:sz w:val="24"/>
                <w:szCs w:val="24"/>
              </w:rPr>
            </w:pPr>
            <w:r>
              <w:rPr>
                <w:rFonts w:hint="eastAsia" w:ascii="宋体" w:cs="宋体" w:hAnsiTheme="minorHAnsi"/>
                <w:b/>
                <w:bCs/>
                <w:color w:val="000000"/>
                <w:kern w:val="0"/>
                <w:sz w:val="24"/>
                <w:szCs w:val="24"/>
              </w:rPr>
              <w:t>一级指标</w:t>
            </w:r>
          </w:p>
        </w:tc>
        <w:tc>
          <w:tcPr>
            <w:tcW w:w="2116" w:type="dxa"/>
            <w:tcBorders>
              <w:top w:val="single" w:color="auto" w:sz="12" w:space="0"/>
              <w:left w:val="nil"/>
              <w:bottom w:val="single" w:color="auto" w:sz="12" w:space="0"/>
              <w:right w:val="single" w:color="auto" w:sz="12" w:space="0"/>
            </w:tcBorders>
          </w:tcPr>
          <w:p w14:paraId="62E2CF00">
            <w:pPr>
              <w:autoSpaceDE w:val="0"/>
              <w:autoSpaceDN w:val="0"/>
              <w:adjustRightInd w:val="0"/>
              <w:jc w:val="left"/>
              <w:rPr>
                <w:rFonts w:ascii="宋体" w:cs="宋体" w:hAnsiTheme="minorHAnsi"/>
                <w:b/>
                <w:bCs/>
                <w:color w:val="000000"/>
                <w:kern w:val="0"/>
                <w:sz w:val="24"/>
                <w:szCs w:val="24"/>
              </w:rPr>
            </w:pPr>
            <w:r>
              <w:rPr>
                <w:rFonts w:hint="eastAsia" w:ascii="宋体" w:cs="宋体" w:hAnsiTheme="minorHAnsi"/>
                <w:b/>
                <w:bCs/>
                <w:color w:val="000000"/>
                <w:kern w:val="0"/>
                <w:sz w:val="24"/>
                <w:szCs w:val="24"/>
              </w:rPr>
              <w:t>二级指标</w:t>
            </w:r>
          </w:p>
        </w:tc>
        <w:tc>
          <w:tcPr>
            <w:tcW w:w="2126" w:type="dxa"/>
            <w:tcBorders>
              <w:top w:val="single" w:color="auto" w:sz="12" w:space="0"/>
              <w:left w:val="nil"/>
              <w:bottom w:val="single" w:color="auto" w:sz="12" w:space="0"/>
              <w:right w:val="single" w:color="auto" w:sz="12" w:space="0"/>
            </w:tcBorders>
          </w:tcPr>
          <w:p w14:paraId="5C20A588">
            <w:pPr>
              <w:autoSpaceDE w:val="0"/>
              <w:autoSpaceDN w:val="0"/>
              <w:adjustRightInd w:val="0"/>
              <w:jc w:val="left"/>
              <w:rPr>
                <w:rFonts w:ascii="宋体" w:cs="宋体" w:hAnsiTheme="minorHAnsi"/>
                <w:b/>
                <w:bCs/>
                <w:color w:val="000000"/>
                <w:kern w:val="0"/>
                <w:sz w:val="24"/>
                <w:szCs w:val="24"/>
              </w:rPr>
            </w:pPr>
            <w:r>
              <w:rPr>
                <w:rFonts w:hint="eastAsia" w:ascii="宋体" w:cs="宋体" w:hAnsiTheme="minorHAnsi"/>
                <w:b/>
                <w:bCs/>
                <w:color w:val="000000"/>
                <w:kern w:val="0"/>
                <w:sz w:val="24"/>
                <w:szCs w:val="24"/>
              </w:rPr>
              <w:t>三级指标</w:t>
            </w:r>
          </w:p>
        </w:tc>
        <w:tc>
          <w:tcPr>
            <w:tcW w:w="1286" w:type="dxa"/>
            <w:tcBorders>
              <w:top w:val="single" w:color="auto" w:sz="12" w:space="0"/>
              <w:left w:val="nil"/>
              <w:bottom w:val="single" w:color="auto" w:sz="12" w:space="0"/>
              <w:right w:val="single" w:color="auto" w:sz="12" w:space="0"/>
            </w:tcBorders>
          </w:tcPr>
          <w:p w14:paraId="23500D2E">
            <w:pPr>
              <w:autoSpaceDE w:val="0"/>
              <w:autoSpaceDN w:val="0"/>
              <w:adjustRightInd w:val="0"/>
              <w:jc w:val="left"/>
              <w:rPr>
                <w:rFonts w:ascii="宋体" w:cs="宋体" w:hAnsiTheme="minorHAnsi"/>
                <w:b/>
                <w:bCs/>
                <w:color w:val="000000"/>
                <w:kern w:val="0"/>
                <w:sz w:val="24"/>
                <w:szCs w:val="24"/>
              </w:rPr>
            </w:pPr>
            <w:r>
              <w:rPr>
                <w:rFonts w:hint="eastAsia" w:ascii="宋体" w:cs="宋体" w:hAnsiTheme="minorHAnsi"/>
                <w:b/>
                <w:bCs/>
                <w:color w:val="000000"/>
                <w:kern w:val="0"/>
                <w:sz w:val="24"/>
                <w:szCs w:val="24"/>
              </w:rPr>
              <w:t>分值</w:t>
            </w:r>
          </w:p>
        </w:tc>
        <w:tc>
          <w:tcPr>
            <w:tcW w:w="1276" w:type="dxa"/>
            <w:tcBorders>
              <w:top w:val="single" w:color="auto" w:sz="12" w:space="0"/>
              <w:left w:val="nil"/>
              <w:bottom w:val="single" w:color="auto" w:sz="12" w:space="0"/>
              <w:right w:val="single" w:color="auto" w:sz="12" w:space="0"/>
            </w:tcBorders>
          </w:tcPr>
          <w:p w14:paraId="4D26F9E0">
            <w:pPr>
              <w:autoSpaceDE w:val="0"/>
              <w:autoSpaceDN w:val="0"/>
              <w:adjustRightInd w:val="0"/>
              <w:jc w:val="left"/>
              <w:rPr>
                <w:rFonts w:ascii="宋体" w:cs="宋体" w:hAnsiTheme="minorHAnsi"/>
                <w:b/>
                <w:bCs/>
                <w:color w:val="000000"/>
                <w:kern w:val="0"/>
                <w:sz w:val="24"/>
                <w:szCs w:val="24"/>
              </w:rPr>
            </w:pPr>
            <w:r>
              <w:rPr>
                <w:rFonts w:hint="eastAsia" w:ascii="宋体" w:cs="宋体" w:hAnsiTheme="minorHAnsi"/>
                <w:b/>
                <w:bCs/>
                <w:color w:val="000000"/>
                <w:kern w:val="0"/>
                <w:sz w:val="24"/>
                <w:szCs w:val="24"/>
              </w:rPr>
              <w:t>得分</w:t>
            </w:r>
          </w:p>
        </w:tc>
      </w:tr>
      <w:tr w14:paraId="2C0F0241">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297B3ACD">
            <w:pPr>
              <w:autoSpaceDE w:val="0"/>
              <w:autoSpaceDN w:val="0"/>
              <w:adjustRightInd w:val="0"/>
              <w:jc w:val="left"/>
              <w:rPr>
                <w:rFonts w:ascii="宋体" w:cs="宋体" w:hAnsiTheme="minorHAnsi"/>
                <w:color w:val="000000"/>
                <w:kern w:val="0"/>
                <w:szCs w:val="21"/>
              </w:rPr>
            </w:pPr>
            <w:r>
              <w:rPr>
                <w:rFonts w:hint="eastAsia" w:ascii="宋体" w:cs="宋体" w:hAnsiTheme="minorHAnsi"/>
                <w:color w:val="000000"/>
                <w:kern w:val="0"/>
                <w:szCs w:val="21"/>
              </w:rPr>
              <w:t>项目决策</w:t>
            </w:r>
          </w:p>
        </w:tc>
        <w:tc>
          <w:tcPr>
            <w:tcW w:w="2116" w:type="dxa"/>
            <w:tcBorders>
              <w:top w:val="single" w:color="auto" w:sz="12" w:space="0"/>
              <w:left w:val="single" w:color="auto" w:sz="12" w:space="0"/>
              <w:bottom w:val="nil"/>
              <w:right w:val="single" w:color="auto" w:sz="12" w:space="0"/>
            </w:tcBorders>
          </w:tcPr>
          <w:p w14:paraId="61E6F2FF">
            <w:pPr>
              <w:autoSpaceDE w:val="0"/>
              <w:autoSpaceDN w:val="0"/>
              <w:adjustRightInd w:val="0"/>
              <w:jc w:val="left"/>
              <w:rPr>
                <w:rFonts w:ascii="宋体" w:hAnsi="Times New Roman" w:cs="宋体"/>
                <w:color w:val="000000"/>
                <w:kern w:val="0"/>
                <w:szCs w:val="21"/>
              </w:rPr>
            </w:pPr>
            <w:r>
              <w:rPr>
                <w:rFonts w:hint="eastAsia" w:ascii="宋体" w:cs="宋体" w:hAnsiTheme="minorHAnsi"/>
                <w:color w:val="000000"/>
                <w:kern w:val="0"/>
                <w:szCs w:val="21"/>
              </w:rPr>
              <w:t>绩效目标（</w:t>
            </w:r>
            <w:r>
              <w:rPr>
                <w:rFonts w:ascii="Times New Roman" w:hAnsi="Times New Roman"/>
                <w:color w:val="000000"/>
                <w:kern w:val="0"/>
                <w:szCs w:val="21"/>
              </w:rPr>
              <w:t>6</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52ECC6AF">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目标内容</w:t>
            </w:r>
          </w:p>
        </w:tc>
        <w:tc>
          <w:tcPr>
            <w:tcW w:w="1286" w:type="dxa"/>
            <w:tcBorders>
              <w:top w:val="nil"/>
              <w:left w:val="nil"/>
              <w:bottom w:val="single" w:color="auto" w:sz="12" w:space="0"/>
              <w:right w:val="single" w:color="auto" w:sz="12" w:space="0"/>
            </w:tcBorders>
          </w:tcPr>
          <w:p w14:paraId="59FAF4AB">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52F1824F">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0C56CF01">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7D92A0F6">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w:t>
            </w:r>
            <w:r>
              <w:rPr>
                <w:rFonts w:ascii="Times New Roman" w:hAnsi="Times New Roman"/>
                <w:color w:val="000000"/>
                <w:kern w:val="0"/>
                <w:szCs w:val="21"/>
              </w:rPr>
              <w:t>20</w:t>
            </w:r>
            <w:r>
              <w:rPr>
                <w:rFonts w:hint="eastAsia" w:ascii="宋体" w:hAnsi="Times New Roman" w:cs="宋体"/>
                <w:color w:val="000000"/>
                <w:kern w:val="0"/>
                <w:szCs w:val="21"/>
              </w:rPr>
              <w:t>分）</w:t>
            </w:r>
          </w:p>
        </w:tc>
        <w:tc>
          <w:tcPr>
            <w:tcW w:w="2116" w:type="dxa"/>
            <w:tcBorders>
              <w:top w:val="nil"/>
              <w:left w:val="single" w:color="auto" w:sz="12" w:space="0"/>
              <w:bottom w:val="nil"/>
              <w:right w:val="single" w:color="auto" w:sz="12" w:space="0"/>
            </w:tcBorders>
          </w:tcPr>
          <w:p w14:paraId="0AF83E17">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79E14A03">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进度计划</w:t>
            </w:r>
          </w:p>
        </w:tc>
        <w:tc>
          <w:tcPr>
            <w:tcW w:w="1286" w:type="dxa"/>
            <w:tcBorders>
              <w:top w:val="nil"/>
              <w:left w:val="nil"/>
              <w:bottom w:val="single" w:color="auto" w:sz="12" w:space="0"/>
              <w:right w:val="single" w:color="auto" w:sz="12" w:space="0"/>
            </w:tcBorders>
          </w:tcPr>
          <w:p w14:paraId="5C691196">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75F2CC42">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5D6C8731">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363834C6">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46AB6BF4">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2BADB619">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目标匹配</w:t>
            </w:r>
          </w:p>
        </w:tc>
        <w:tc>
          <w:tcPr>
            <w:tcW w:w="1286" w:type="dxa"/>
            <w:tcBorders>
              <w:top w:val="nil"/>
              <w:left w:val="nil"/>
              <w:bottom w:val="single" w:color="auto" w:sz="12" w:space="0"/>
              <w:right w:val="single" w:color="auto" w:sz="12" w:space="0"/>
            </w:tcBorders>
          </w:tcPr>
          <w:p w14:paraId="771503C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067BB014">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3D1E6DEB">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695E0216">
            <w:pPr>
              <w:autoSpaceDE w:val="0"/>
              <w:autoSpaceDN w:val="0"/>
              <w:adjustRightInd w:val="0"/>
              <w:jc w:val="left"/>
              <w:rPr>
                <w:rFonts w:ascii="宋体" w:hAnsi="Times New Roman" w:cs="宋体"/>
                <w:color w:val="000000"/>
                <w:kern w:val="0"/>
                <w:sz w:val="22"/>
              </w:rPr>
            </w:pPr>
          </w:p>
        </w:tc>
        <w:tc>
          <w:tcPr>
            <w:tcW w:w="2116" w:type="dxa"/>
            <w:tcBorders>
              <w:top w:val="single" w:color="000000" w:sz="12" w:space="0"/>
              <w:left w:val="single" w:color="auto" w:sz="12" w:space="0"/>
              <w:bottom w:val="nil"/>
              <w:right w:val="single" w:color="auto" w:sz="12" w:space="0"/>
            </w:tcBorders>
          </w:tcPr>
          <w:p w14:paraId="7311D4F2">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决策依据（</w:t>
            </w:r>
            <w:r>
              <w:rPr>
                <w:rFonts w:ascii="宋体" w:hAnsi="Times New Roman" w:cs="宋体"/>
                <w:color w:val="000000"/>
                <w:kern w:val="0"/>
                <w:szCs w:val="21"/>
              </w:rPr>
              <w:t>10</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63DE52CA">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政策依据</w:t>
            </w:r>
          </w:p>
        </w:tc>
        <w:tc>
          <w:tcPr>
            <w:tcW w:w="1286" w:type="dxa"/>
            <w:tcBorders>
              <w:top w:val="nil"/>
              <w:left w:val="nil"/>
              <w:bottom w:val="single" w:color="auto" w:sz="12" w:space="0"/>
              <w:right w:val="single" w:color="auto" w:sz="12" w:space="0"/>
            </w:tcBorders>
          </w:tcPr>
          <w:p w14:paraId="170243EB">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1B6A1C4D">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4CA5A383">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35C50DC4">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nil"/>
              <w:right w:val="single" w:color="auto" w:sz="12" w:space="0"/>
            </w:tcBorders>
          </w:tcPr>
          <w:p w14:paraId="64326E84">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4ADECC70">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程序严密</w:t>
            </w:r>
          </w:p>
        </w:tc>
        <w:tc>
          <w:tcPr>
            <w:tcW w:w="1286" w:type="dxa"/>
            <w:tcBorders>
              <w:top w:val="nil"/>
              <w:left w:val="nil"/>
              <w:bottom w:val="single" w:color="auto" w:sz="12" w:space="0"/>
              <w:right w:val="single" w:color="auto" w:sz="12" w:space="0"/>
            </w:tcBorders>
          </w:tcPr>
          <w:p w14:paraId="69B641A2">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5412D72F">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0FCB4A91">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187738B4">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nil"/>
              <w:right w:val="single" w:color="auto" w:sz="12" w:space="0"/>
            </w:tcBorders>
          </w:tcPr>
          <w:p w14:paraId="702266F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4A0D72FF">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结果符合</w:t>
            </w:r>
          </w:p>
        </w:tc>
        <w:tc>
          <w:tcPr>
            <w:tcW w:w="1286" w:type="dxa"/>
            <w:tcBorders>
              <w:top w:val="nil"/>
              <w:left w:val="nil"/>
              <w:bottom w:val="single" w:color="auto" w:sz="12" w:space="0"/>
              <w:right w:val="single" w:color="auto" w:sz="12" w:space="0"/>
            </w:tcBorders>
          </w:tcPr>
          <w:p w14:paraId="691D2422">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626E97A8">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7C053CDD">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3C9C6494">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6F2331B8">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0B9E97B1">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实施规划</w:t>
            </w:r>
          </w:p>
        </w:tc>
        <w:tc>
          <w:tcPr>
            <w:tcW w:w="1286" w:type="dxa"/>
            <w:tcBorders>
              <w:top w:val="nil"/>
              <w:left w:val="nil"/>
              <w:bottom w:val="single" w:color="auto" w:sz="12" w:space="0"/>
              <w:right w:val="single" w:color="auto" w:sz="12" w:space="0"/>
            </w:tcBorders>
          </w:tcPr>
          <w:p w14:paraId="20DB3056">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7C005649">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2F178F2E">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668AF917">
            <w:pPr>
              <w:autoSpaceDE w:val="0"/>
              <w:autoSpaceDN w:val="0"/>
              <w:adjustRightInd w:val="0"/>
              <w:jc w:val="left"/>
              <w:rPr>
                <w:rFonts w:ascii="宋体" w:hAnsi="Times New Roman" w:cs="宋体"/>
                <w:color w:val="000000"/>
                <w:kern w:val="0"/>
                <w:sz w:val="22"/>
              </w:rPr>
            </w:pPr>
          </w:p>
        </w:tc>
        <w:tc>
          <w:tcPr>
            <w:tcW w:w="2116" w:type="dxa"/>
            <w:tcBorders>
              <w:top w:val="single" w:color="000000" w:sz="12" w:space="0"/>
              <w:left w:val="single" w:color="auto" w:sz="12" w:space="0"/>
              <w:bottom w:val="nil"/>
              <w:right w:val="single" w:color="auto" w:sz="12" w:space="0"/>
            </w:tcBorders>
          </w:tcPr>
          <w:p w14:paraId="3BD44C55">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分配结果（</w:t>
            </w:r>
            <w:r>
              <w:rPr>
                <w:rFonts w:ascii="Times New Roman" w:hAnsi="Times New Roman"/>
                <w:color w:val="000000"/>
                <w:kern w:val="0"/>
                <w:szCs w:val="21"/>
              </w:rPr>
              <w:t>4</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4647BCA3">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分配过程</w:t>
            </w:r>
          </w:p>
        </w:tc>
        <w:tc>
          <w:tcPr>
            <w:tcW w:w="1286" w:type="dxa"/>
            <w:tcBorders>
              <w:top w:val="nil"/>
              <w:left w:val="nil"/>
              <w:bottom w:val="single" w:color="auto" w:sz="12" w:space="0"/>
              <w:right w:val="single" w:color="auto" w:sz="12" w:space="0"/>
            </w:tcBorders>
          </w:tcPr>
          <w:p w14:paraId="6D105556">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16B255E2">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0E207CE7">
        <w:tblPrEx>
          <w:tblCellMar>
            <w:top w:w="0" w:type="dxa"/>
            <w:left w:w="108" w:type="dxa"/>
            <w:bottom w:w="0" w:type="dxa"/>
            <w:right w:w="108" w:type="dxa"/>
          </w:tblCellMar>
        </w:tblPrEx>
        <w:trPr>
          <w:trHeight w:val="286" w:hRule="atLeast"/>
        </w:trPr>
        <w:tc>
          <w:tcPr>
            <w:tcW w:w="1458" w:type="dxa"/>
            <w:tcBorders>
              <w:top w:val="nil"/>
              <w:left w:val="single" w:color="auto" w:sz="12" w:space="0"/>
              <w:bottom w:val="single" w:color="auto" w:sz="12" w:space="0"/>
              <w:right w:val="single" w:color="auto" w:sz="12" w:space="0"/>
            </w:tcBorders>
          </w:tcPr>
          <w:p w14:paraId="29935120">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0CFF64E7">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5405F8FE">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审核把关</w:t>
            </w:r>
          </w:p>
        </w:tc>
        <w:tc>
          <w:tcPr>
            <w:tcW w:w="1286" w:type="dxa"/>
            <w:tcBorders>
              <w:top w:val="nil"/>
              <w:left w:val="nil"/>
              <w:bottom w:val="single" w:color="auto" w:sz="12" w:space="0"/>
              <w:right w:val="single" w:color="auto" w:sz="12" w:space="0"/>
            </w:tcBorders>
          </w:tcPr>
          <w:p w14:paraId="477F1FCE">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3B1BDC79">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57178672">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63127C34">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项目管理</w:t>
            </w:r>
          </w:p>
        </w:tc>
        <w:tc>
          <w:tcPr>
            <w:tcW w:w="2116" w:type="dxa"/>
            <w:tcBorders>
              <w:top w:val="single" w:color="000000" w:sz="12" w:space="0"/>
              <w:left w:val="single" w:color="auto" w:sz="12" w:space="0"/>
              <w:bottom w:val="nil"/>
              <w:right w:val="single" w:color="auto" w:sz="12" w:space="0"/>
            </w:tcBorders>
          </w:tcPr>
          <w:p w14:paraId="1CED529E">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资金到位（</w:t>
            </w:r>
            <w:r>
              <w:rPr>
                <w:rFonts w:ascii="Times New Roman" w:hAnsi="Times New Roman"/>
                <w:color w:val="000000"/>
                <w:kern w:val="0"/>
                <w:szCs w:val="21"/>
              </w:rPr>
              <w:t>4</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3A373A5A">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分配实效</w:t>
            </w:r>
          </w:p>
        </w:tc>
        <w:tc>
          <w:tcPr>
            <w:tcW w:w="1286" w:type="dxa"/>
            <w:tcBorders>
              <w:top w:val="nil"/>
              <w:left w:val="nil"/>
              <w:bottom w:val="single" w:color="auto" w:sz="12" w:space="0"/>
              <w:right w:val="single" w:color="auto" w:sz="12" w:space="0"/>
            </w:tcBorders>
          </w:tcPr>
          <w:p w14:paraId="5DCD4561">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2D5E519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7F4580B5">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26A83175">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w:t>
            </w:r>
            <w:r>
              <w:rPr>
                <w:rFonts w:ascii="Times New Roman" w:hAnsi="Times New Roman"/>
                <w:color w:val="000000"/>
                <w:kern w:val="0"/>
                <w:szCs w:val="21"/>
              </w:rPr>
              <w:t>15</w:t>
            </w:r>
            <w:r>
              <w:rPr>
                <w:rFonts w:hint="eastAsia" w:ascii="宋体" w:hAnsi="Times New Roman" w:cs="宋体"/>
                <w:color w:val="000000"/>
                <w:kern w:val="0"/>
                <w:szCs w:val="21"/>
              </w:rPr>
              <w:t>分）</w:t>
            </w:r>
          </w:p>
        </w:tc>
        <w:tc>
          <w:tcPr>
            <w:tcW w:w="2116" w:type="dxa"/>
            <w:tcBorders>
              <w:top w:val="nil"/>
              <w:left w:val="single" w:color="auto" w:sz="12" w:space="0"/>
              <w:bottom w:val="single" w:color="000000" w:sz="12" w:space="0"/>
              <w:right w:val="single" w:color="auto" w:sz="12" w:space="0"/>
            </w:tcBorders>
          </w:tcPr>
          <w:p w14:paraId="74C86BC2">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4BB505F7">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资金拨付</w:t>
            </w:r>
          </w:p>
        </w:tc>
        <w:tc>
          <w:tcPr>
            <w:tcW w:w="1286" w:type="dxa"/>
            <w:tcBorders>
              <w:top w:val="nil"/>
              <w:left w:val="nil"/>
              <w:bottom w:val="single" w:color="auto" w:sz="12" w:space="0"/>
              <w:right w:val="single" w:color="auto" w:sz="12" w:space="0"/>
            </w:tcBorders>
          </w:tcPr>
          <w:p w14:paraId="56668332">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1AC2EF6A">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3E32DE6A">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12753C86">
            <w:pPr>
              <w:autoSpaceDE w:val="0"/>
              <w:autoSpaceDN w:val="0"/>
              <w:adjustRightInd w:val="0"/>
              <w:jc w:val="left"/>
              <w:rPr>
                <w:rFonts w:ascii="宋体" w:hAnsi="Times New Roman" w:cs="宋体"/>
                <w:color w:val="000000"/>
                <w:kern w:val="0"/>
                <w:sz w:val="22"/>
              </w:rPr>
            </w:pPr>
          </w:p>
        </w:tc>
        <w:tc>
          <w:tcPr>
            <w:tcW w:w="2116" w:type="dxa"/>
            <w:tcBorders>
              <w:top w:val="single" w:color="000000" w:sz="12" w:space="0"/>
              <w:left w:val="single" w:color="auto" w:sz="12" w:space="0"/>
              <w:bottom w:val="nil"/>
              <w:right w:val="single" w:color="auto" w:sz="12" w:space="0"/>
            </w:tcBorders>
          </w:tcPr>
          <w:p w14:paraId="25242A01">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资金管理（</w:t>
            </w:r>
            <w:r>
              <w:rPr>
                <w:rFonts w:ascii="宋体" w:hAnsi="Times New Roman" w:cs="宋体"/>
                <w:color w:val="000000"/>
                <w:kern w:val="0"/>
                <w:szCs w:val="21"/>
              </w:rPr>
              <w:t>7</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1CACDE96">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使用范围</w:t>
            </w:r>
          </w:p>
        </w:tc>
        <w:tc>
          <w:tcPr>
            <w:tcW w:w="1286" w:type="dxa"/>
            <w:tcBorders>
              <w:top w:val="nil"/>
              <w:left w:val="nil"/>
              <w:bottom w:val="single" w:color="auto" w:sz="12" w:space="0"/>
              <w:right w:val="single" w:color="auto" w:sz="12" w:space="0"/>
            </w:tcBorders>
          </w:tcPr>
          <w:p w14:paraId="05F9C0AD">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c>
          <w:tcPr>
            <w:tcW w:w="1276" w:type="dxa"/>
            <w:tcBorders>
              <w:top w:val="nil"/>
              <w:left w:val="nil"/>
              <w:bottom w:val="single" w:color="auto" w:sz="12" w:space="0"/>
              <w:right w:val="single" w:color="auto" w:sz="12" w:space="0"/>
            </w:tcBorders>
          </w:tcPr>
          <w:p w14:paraId="124FB675">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r>
      <w:tr w14:paraId="79753758">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6FEB2629">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nil"/>
              <w:right w:val="single" w:color="auto" w:sz="12" w:space="0"/>
            </w:tcBorders>
          </w:tcPr>
          <w:p w14:paraId="65D10B8A">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03246BBC">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支付依据</w:t>
            </w:r>
          </w:p>
        </w:tc>
        <w:tc>
          <w:tcPr>
            <w:tcW w:w="1286" w:type="dxa"/>
            <w:tcBorders>
              <w:top w:val="nil"/>
              <w:left w:val="nil"/>
              <w:bottom w:val="single" w:color="auto" w:sz="12" w:space="0"/>
              <w:right w:val="single" w:color="auto" w:sz="12" w:space="0"/>
            </w:tcBorders>
          </w:tcPr>
          <w:p w14:paraId="2EF3EE92">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c>
          <w:tcPr>
            <w:tcW w:w="1276" w:type="dxa"/>
            <w:tcBorders>
              <w:top w:val="nil"/>
              <w:left w:val="nil"/>
              <w:bottom w:val="single" w:color="auto" w:sz="12" w:space="0"/>
              <w:right w:val="single" w:color="auto" w:sz="12" w:space="0"/>
            </w:tcBorders>
          </w:tcPr>
          <w:p w14:paraId="5D53FDB5">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r>
      <w:tr w14:paraId="323276B4">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2A663F8A">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26935140">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5AFC5BEA">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开支标准</w:t>
            </w:r>
          </w:p>
        </w:tc>
        <w:tc>
          <w:tcPr>
            <w:tcW w:w="1286" w:type="dxa"/>
            <w:tcBorders>
              <w:top w:val="nil"/>
              <w:left w:val="nil"/>
              <w:bottom w:val="single" w:color="auto" w:sz="12" w:space="0"/>
              <w:right w:val="single" w:color="auto" w:sz="12" w:space="0"/>
            </w:tcBorders>
          </w:tcPr>
          <w:p w14:paraId="0AFCF9B9">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c>
          <w:tcPr>
            <w:tcW w:w="1276" w:type="dxa"/>
            <w:tcBorders>
              <w:top w:val="nil"/>
              <w:left w:val="nil"/>
              <w:bottom w:val="single" w:color="auto" w:sz="12" w:space="0"/>
              <w:right w:val="single" w:color="auto" w:sz="12" w:space="0"/>
            </w:tcBorders>
          </w:tcPr>
          <w:p w14:paraId="7998D7CE">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w:t>
            </w:r>
          </w:p>
        </w:tc>
      </w:tr>
      <w:tr w14:paraId="2FFC949E">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7DD58899">
            <w:pPr>
              <w:autoSpaceDE w:val="0"/>
              <w:autoSpaceDN w:val="0"/>
              <w:adjustRightInd w:val="0"/>
              <w:jc w:val="left"/>
              <w:rPr>
                <w:rFonts w:ascii="宋体" w:hAnsi="Times New Roman" w:cs="宋体"/>
                <w:color w:val="000000"/>
                <w:kern w:val="0"/>
                <w:sz w:val="22"/>
              </w:rPr>
            </w:pPr>
          </w:p>
        </w:tc>
        <w:tc>
          <w:tcPr>
            <w:tcW w:w="2116" w:type="dxa"/>
            <w:tcBorders>
              <w:top w:val="single" w:color="000000" w:sz="12" w:space="0"/>
              <w:left w:val="single" w:color="auto" w:sz="12" w:space="0"/>
              <w:bottom w:val="nil"/>
              <w:right w:val="single" w:color="auto" w:sz="12" w:space="0"/>
            </w:tcBorders>
          </w:tcPr>
          <w:p w14:paraId="02111995">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财务管理（</w:t>
            </w:r>
            <w:r>
              <w:rPr>
                <w:rFonts w:ascii="Times New Roman" w:hAnsi="Times New Roman"/>
                <w:color w:val="000000"/>
                <w:kern w:val="0"/>
                <w:szCs w:val="21"/>
              </w:rPr>
              <w:t>4</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33A3C75E">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财务制度</w:t>
            </w:r>
          </w:p>
        </w:tc>
        <w:tc>
          <w:tcPr>
            <w:tcW w:w="1286" w:type="dxa"/>
            <w:tcBorders>
              <w:top w:val="nil"/>
              <w:left w:val="nil"/>
              <w:bottom w:val="single" w:color="auto" w:sz="12" w:space="0"/>
              <w:right w:val="single" w:color="auto" w:sz="12" w:space="0"/>
            </w:tcBorders>
          </w:tcPr>
          <w:p w14:paraId="1EE404E4">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5C18EA1E">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70D9C760">
        <w:tblPrEx>
          <w:tblCellMar>
            <w:top w:w="0" w:type="dxa"/>
            <w:left w:w="108" w:type="dxa"/>
            <w:bottom w:w="0" w:type="dxa"/>
            <w:right w:w="108" w:type="dxa"/>
          </w:tblCellMar>
        </w:tblPrEx>
        <w:trPr>
          <w:trHeight w:val="286" w:hRule="atLeast"/>
        </w:trPr>
        <w:tc>
          <w:tcPr>
            <w:tcW w:w="1458" w:type="dxa"/>
            <w:tcBorders>
              <w:top w:val="nil"/>
              <w:left w:val="single" w:color="auto" w:sz="12" w:space="0"/>
              <w:bottom w:val="single" w:color="auto" w:sz="12" w:space="0"/>
              <w:right w:val="single" w:color="auto" w:sz="12" w:space="0"/>
            </w:tcBorders>
          </w:tcPr>
          <w:p w14:paraId="5F09384D">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4CF2E007">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63AF0CD6">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会计核算</w:t>
            </w:r>
          </w:p>
        </w:tc>
        <w:tc>
          <w:tcPr>
            <w:tcW w:w="1286" w:type="dxa"/>
            <w:tcBorders>
              <w:top w:val="nil"/>
              <w:left w:val="nil"/>
              <w:bottom w:val="single" w:color="auto" w:sz="12" w:space="0"/>
              <w:right w:val="single" w:color="auto" w:sz="12" w:space="0"/>
            </w:tcBorders>
          </w:tcPr>
          <w:p w14:paraId="5C2AD81A">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c>
          <w:tcPr>
            <w:tcW w:w="1276" w:type="dxa"/>
            <w:tcBorders>
              <w:top w:val="nil"/>
              <w:left w:val="nil"/>
              <w:bottom w:val="single" w:color="auto" w:sz="12" w:space="0"/>
              <w:right w:val="single" w:color="auto" w:sz="12" w:space="0"/>
            </w:tcBorders>
          </w:tcPr>
          <w:p w14:paraId="3AD6AD4B">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w:t>
            </w:r>
          </w:p>
        </w:tc>
      </w:tr>
      <w:tr w14:paraId="74171A92">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19B218E1">
            <w:pPr>
              <w:autoSpaceDE w:val="0"/>
              <w:autoSpaceDN w:val="0"/>
              <w:adjustRightInd w:val="0"/>
              <w:jc w:val="left"/>
              <w:rPr>
                <w:rFonts w:ascii="宋体" w:hAnsi="Times New Roman" w:cs="宋体"/>
                <w:color w:val="000000"/>
                <w:kern w:val="0"/>
                <w:szCs w:val="21"/>
              </w:rPr>
            </w:pPr>
          </w:p>
        </w:tc>
        <w:tc>
          <w:tcPr>
            <w:tcW w:w="2116" w:type="dxa"/>
            <w:tcBorders>
              <w:top w:val="single" w:color="000000" w:sz="12" w:space="0"/>
              <w:left w:val="single" w:color="auto" w:sz="12" w:space="0"/>
              <w:bottom w:val="nil"/>
              <w:right w:val="single" w:color="auto" w:sz="12" w:space="0"/>
            </w:tcBorders>
          </w:tcPr>
          <w:p w14:paraId="22DC4780">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项目完成（</w:t>
            </w:r>
            <w:r>
              <w:rPr>
                <w:rFonts w:ascii="宋体" w:hAnsi="Times New Roman" w:cs="宋体"/>
                <w:color w:val="000000"/>
                <w:kern w:val="0"/>
                <w:szCs w:val="21"/>
              </w:rPr>
              <w:t>20</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18DA5D8E">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完成数量</w:t>
            </w:r>
          </w:p>
        </w:tc>
        <w:tc>
          <w:tcPr>
            <w:tcW w:w="1286" w:type="dxa"/>
            <w:tcBorders>
              <w:top w:val="nil"/>
              <w:left w:val="nil"/>
              <w:bottom w:val="single" w:color="auto" w:sz="12" w:space="0"/>
              <w:right w:val="single" w:color="auto" w:sz="12" w:space="0"/>
            </w:tcBorders>
          </w:tcPr>
          <w:p w14:paraId="7431ECB9">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4A68D47E">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550C4DEE">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0A487B38">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项目绩效</w:t>
            </w:r>
          </w:p>
        </w:tc>
        <w:tc>
          <w:tcPr>
            <w:tcW w:w="2116" w:type="dxa"/>
            <w:tcBorders>
              <w:top w:val="nil"/>
              <w:left w:val="single" w:color="auto" w:sz="12" w:space="0"/>
              <w:bottom w:val="nil"/>
              <w:right w:val="single" w:color="auto" w:sz="12" w:space="0"/>
            </w:tcBorders>
          </w:tcPr>
          <w:p w14:paraId="65E4B420">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6102CBA7">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完成质量</w:t>
            </w:r>
          </w:p>
        </w:tc>
        <w:tc>
          <w:tcPr>
            <w:tcW w:w="1286" w:type="dxa"/>
            <w:tcBorders>
              <w:top w:val="nil"/>
              <w:left w:val="nil"/>
              <w:bottom w:val="single" w:color="auto" w:sz="12" w:space="0"/>
              <w:right w:val="single" w:color="auto" w:sz="12" w:space="0"/>
            </w:tcBorders>
          </w:tcPr>
          <w:p w14:paraId="71885A91">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7253F82B">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01C22B82">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08D2DE86">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w:t>
            </w:r>
            <w:r>
              <w:rPr>
                <w:rFonts w:ascii="Times New Roman" w:hAnsi="Times New Roman"/>
                <w:color w:val="000000"/>
                <w:kern w:val="0"/>
                <w:szCs w:val="21"/>
              </w:rPr>
              <w:t>65</w:t>
            </w:r>
            <w:r>
              <w:rPr>
                <w:rFonts w:hint="eastAsia" w:ascii="宋体" w:hAnsi="Times New Roman" w:cs="宋体"/>
                <w:color w:val="000000"/>
                <w:kern w:val="0"/>
                <w:szCs w:val="21"/>
              </w:rPr>
              <w:t>分）</w:t>
            </w:r>
          </w:p>
        </w:tc>
        <w:tc>
          <w:tcPr>
            <w:tcW w:w="2116" w:type="dxa"/>
            <w:tcBorders>
              <w:top w:val="nil"/>
              <w:left w:val="single" w:color="auto" w:sz="12" w:space="0"/>
              <w:bottom w:val="nil"/>
              <w:right w:val="single" w:color="auto" w:sz="12" w:space="0"/>
            </w:tcBorders>
          </w:tcPr>
          <w:p w14:paraId="0E7DC867">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52C947DB">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完成时效</w:t>
            </w:r>
          </w:p>
        </w:tc>
        <w:tc>
          <w:tcPr>
            <w:tcW w:w="1286" w:type="dxa"/>
            <w:tcBorders>
              <w:top w:val="nil"/>
              <w:left w:val="nil"/>
              <w:bottom w:val="single" w:color="auto" w:sz="12" w:space="0"/>
              <w:right w:val="single" w:color="auto" w:sz="12" w:space="0"/>
            </w:tcBorders>
          </w:tcPr>
          <w:p w14:paraId="5062978B">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0C1B6DB1">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617A56D3">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24EEA3FF">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nil"/>
              <w:right w:val="single" w:color="auto" w:sz="12" w:space="0"/>
            </w:tcBorders>
          </w:tcPr>
          <w:p w14:paraId="0B6A2B9F">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12DAAB0B">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完成成本</w:t>
            </w:r>
          </w:p>
        </w:tc>
        <w:tc>
          <w:tcPr>
            <w:tcW w:w="1286" w:type="dxa"/>
            <w:tcBorders>
              <w:top w:val="nil"/>
              <w:left w:val="nil"/>
              <w:bottom w:val="single" w:color="auto" w:sz="12" w:space="0"/>
              <w:right w:val="single" w:color="auto" w:sz="12" w:space="0"/>
            </w:tcBorders>
          </w:tcPr>
          <w:p w14:paraId="2B19E926">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67F7A2FF">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451D4E83">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19C5E55E">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1DA2F1EC">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512ECE59">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违规违纪</w:t>
            </w:r>
          </w:p>
        </w:tc>
        <w:tc>
          <w:tcPr>
            <w:tcW w:w="1286" w:type="dxa"/>
            <w:tcBorders>
              <w:top w:val="nil"/>
              <w:left w:val="nil"/>
              <w:bottom w:val="single" w:color="auto" w:sz="12" w:space="0"/>
              <w:right w:val="single" w:color="auto" w:sz="12" w:space="0"/>
            </w:tcBorders>
          </w:tcPr>
          <w:p w14:paraId="78E8B7C0">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c>
          <w:tcPr>
            <w:tcW w:w="1276" w:type="dxa"/>
            <w:tcBorders>
              <w:top w:val="nil"/>
              <w:left w:val="nil"/>
              <w:bottom w:val="single" w:color="auto" w:sz="12" w:space="0"/>
              <w:right w:val="single" w:color="auto" w:sz="12" w:space="0"/>
            </w:tcBorders>
          </w:tcPr>
          <w:p w14:paraId="631CA785">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4</w:t>
            </w:r>
          </w:p>
        </w:tc>
      </w:tr>
      <w:tr w14:paraId="29DB1BEB">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5DAF42DC">
            <w:pPr>
              <w:autoSpaceDE w:val="0"/>
              <w:autoSpaceDN w:val="0"/>
              <w:adjustRightInd w:val="0"/>
              <w:jc w:val="left"/>
              <w:rPr>
                <w:rFonts w:ascii="宋体" w:hAnsi="Times New Roman" w:cs="宋体"/>
                <w:color w:val="000000"/>
                <w:kern w:val="0"/>
                <w:sz w:val="22"/>
              </w:rPr>
            </w:pPr>
          </w:p>
        </w:tc>
        <w:tc>
          <w:tcPr>
            <w:tcW w:w="2116" w:type="dxa"/>
            <w:tcBorders>
              <w:top w:val="single" w:color="000000" w:sz="12" w:space="0"/>
              <w:left w:val="single" w:color="auto" w:sz="12" w:space="0"/>
              <w:bottom w:val="nil"/>
              <w:right w:val="single" w:color="auto" w:sz="12" w:space="0"/>
            </w:tcBorders>
          </w:tcPr>
          <w:p w14:paraId="5DF02CED">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项目效益（</w:t>
            </w:r>
            <w:r>
              <w:rPr>
                <w:rFonts w:ascii="宋体" w:hAnsi="Times New Roman" w:cs="宋体"/>
                <w:color w:val="000000"/>
                <w:kern w:val="0"/>
                <w:szCs w:val="21"/>
              </w:rPr>
              <w:t>40</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04C48C22">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经济效益</w:t>
            </w:r>
          </w:p>
        </w:tc>
        <w:tc>
          <w:tcPr>
            <w:tcW w:w="1286" w:type="dxa"/>
            <w:tcBorders>
              <w:top w:val="nil"/>
              <w:left w:val="nil"/>
              <w:bottom w:val="single" w:color="auto" w:sz="12" w:space="0"/>
              <w:right w:val="single" w:color="auto" w:sz="12" w:space="0"/>
            </w:tcBorders>
          </w:tcPr>
          <w:p w14:paraId="30CF6F95">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10</w:t>
            </w:r>
          </w:p>
        </w:tc>
        <w:tc>
          <w:tcPr>
            <w:tcW w:w="1276" w:type="dxa"/>
            <w:tcBorders>
              <w:top w:val="nil"/>
              <w:left w:val="nil"/>
              <w:bottom w:val="single" w:color="auto" w:sz="12" w:space="0"/>
              <w:right w:val="single" w:color="auto" w:sz="12" w:space="0"/>
            </w:tcBorders>
          </w:tcPr>
          <w:p w14:paraId="65ED3E48">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9</w:t>
            </w:r>
          </w:p>
        </w:tc>
      </w:tr>
      <w:tr w14:paraId="7B0C1EF4">
        <w:tblPrEx>
          <w:tblCellMar>
            <w:top w:w="0" w:type="dxa"/>
            <w:left w:w="108" w:type="dxa"/>
            <w:bottom w:w="0" w:type="dxa"/>
            <w:right w:w="108" w:type="dxa"/>
          </w:tblCellMar>
        </w:tblPrEx>
        <w:trPr>
          <w:trHeight w:val="286" w:hRule="atLeast"/>
        </w:trPr>
        <w:tc>
          <w:tcPr>
            <w:tcW w:w="1458" w:type="dxa"/>
            <w:tcBorders>
              <w:top w:val="nil"/>
              <w:left w:val="single" w:color="auto" w:sz="12" w:space="0"/>
              <w:bottom w:val="nil"/>
              <w:right w:val="single" w:color="auto" w:sz="12" w:space="0"/>
            </w:tcBorders>
          </w:tcPr>
          <w:p w14:paraId="75F89904">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nil"/>
              <w:right w:val="single" w:color="auto" w:sz="12" w:space="0"/>
            </w:tcBorders>
          </w:tcPr>
          <w:p w14:paraId="6415C787">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31D0A60A">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社会效益</w:t>
            </w:r>
          </w:p>
        </w:tc>
        <w:tc>
          <w:tcPr>
            <w:tcW w:w="1286" w:type="dxa"/>
            <w:tcBorders>
              <w:top w:val="nil"/>
              <w:left w:val="nil"/>
              <w:bottom w:val="single" w:color="auto" w:sz="12" w:space="0"/>
              <w:right w:val="single" w:color="auto" w:sz="12" w:space="0"/>
            </w:tcBorders>
          </w:tcPr>
          <w:p w14:paraId="22ED4967">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20</w:t>
            </w:r>
          </w:p>
        </w:tc>
        <w:tc>
          <w:tcPr>
            <w:tcW w:w="1276" w:type="dxa"/>
            <w:tcBorders>
              <w:top w:val="nil"/>
              <w:left w:val="nil"/>
              <w:bottom w:val="single" w:color="auto" w:sz="12" w:space="0"/>
              <w:right w:val="single" w:color="auto" w:sz="12" w:space="0"/>
            </w:tcBorders>
          </w:tcPr>
          <w:p w14:paraId="03A0E12E">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20</w:t>
            </w:r>
          </w:p>
        </w:tc>
      </w:tr>
      <w:tr w14:paraId="5FD97F98">
        <w:tblPrEx>
          <w:tblCellMar>
            <w:top w:w="0" w:type="dxa"/>
            <w:left w:w="108" w:type="dxa"/>
            <w:bottom w:w="0" w:type="dxa"/>
            <w:right w:w="108" w:type="dxa"/>
          </w:tblCellMar>
        </w:tblPrEx>
        <w:trPr>
          <w:trHeight w:val="526" w:hRule="atLeast"/>
        </w:trPr>
        <w:tc>
          <w:tcPr>
            <w:tcW w:w="1458" w:type="dxa"/>
            <w:tcBorders>
              <w:top w:val="nil"/>
              <w:left w:val="single" w:color="auto" w:sz="12" w:space="0"/>
              <w:bottom w:val="nil"/>
              <w:right w:val="single" w:color="auto" w:sz="12" w:space="0"/>
            </w:tcBorders>
          </w:tcPr>
          <w:p w14:paraId="3AB76939">
            <w:pPr>
              <w:autoSpaceDE w:val="0"/>
              <w:autoSpaceDN w:val="0"/>
              <w:adjustRightInd w:val="0"/>
              <w:jc w:val="left"/>
              <w:rPr>
                <w:rFonts w:ascii="宋体" w:hAnsi="Times New Roman" w:cs="宋体"/>
                <w:color w:val="000000"/>
                <w:kern w:val="0"/>
                <w:sz w:val="22"/>
              </w:rPr>
            </w:pPr>
          </w:p>
        </w:tc>
        <w:tc>
          <w:tcPr>
            <w:tcW w:w="2116" w:type="dxa"/>
            <w:tcBorders>
              <w:top w:val="nil"/>
              <w:left w:val="single" w:color="auto" w:sz="12" w:space="0"/>
              <w:bottom w:val="single" w:color="000000" w:sz="12" w:space="0"/>
              <w:right w:val="single" w:color="auto" w:sz="12" w:space="0"/>
            </w:tcBorders>
          </w:tcPr>
          <w:p w14:paraId="60A2234B">
            <w:pPr>
              <w:autoSpaceDE w:val="0"/>
              <w:autoSpaceDN w:val="0"/>
              <w:adjustRightInd w:val="0"/>
              <w:jc w:val="left"/>
              <w:rPr>
                <w:rFonts w:ascii="宋体" w:hAnsi="Times New Roman" w:cs="宋体"/>
                <w:color w:val="000000"/>
                <w:kern w:val="0"/>
                <w:szCs w:val="21"/>
              </w:rPr>
            </w:pPr>
          </w:p>
        </w:tc>
        <w:tc>
          <w:tcPr>
            <w:tcW w:w="2126" w:type="dxa"/>
            <w:tcBorders>
              <w:top w:val="nil"/>
              <w:left w:val="nil"/>
              <w:bottom w:val="single" w:color="auto" w:sz="12" w:space="0"/>
              <w:right w:val="single" w:color="auto" w:sz="12" w:space="0"/>
            </w:tcBorders>
          </w:tcPr>
          <w:p w14:paraId="05815110">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可持续效益</w:t>
            </w:r>
          </w:p>
        </w:tc>
        <w:tc>
          <w:tcPr>
            <w:tcW w:w="1286" w:type="dxa"/>
            <w:tcBorders>
              <w:top w:val="nil"/>
              <w:left w:val="nil"/>
              <w:bottom w:val="single" w:color="auto" w:sz="12" w:space="0"/>
              <w:right w:val="single" w:color="auto" w:sz="12" w:space="0"/>
            </w:tcBorders>
          </w:tcPr>
          <w:p w14:paraId="58351A0C">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10</w:t>
            </w:r>
          </w:p>
        </w:tc>
        <w:tc>
          <w:tcPr>
            <w:tcW w:w="1276" w:type="dxa"/>
            <w:tcBorders>
              <w:top w:val="nil"/>
              <w:left w:val="nil"/>
              <w:bottom w:val="single" w:color="auto" w:sz="12" w:space="0"/>
              <w:right w:val="single" w:color="auto" w:sz="12" w:space="0"/>
            </w:tcBorders>
          </w:tcPr>
          <w:p w14:paraId="45F918C4">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9</w:t>
            </w:r>
          </w:p>
        </w:tc>
      </w:tr>
      <w:tr w14:paraId="3EAF9301">
        <w:tblPrEx>
          <w:tblCellMar>
            <w:top w:w="0" w:type="dxa"/>
            <w:left w:w="108" w:type="dxa"/>
            <w:bottom w:w="0" w:type="dxa"/>
            <w:right w:w="108" w:type="dxa"/>
          </w:tblCellMar>
        </w:tblPrEx>
        <w:trPr>
          <w:trHeight w:val="542" w:hRule="atLeast"/>
        </w:trPr>
        <w:tc>
          <w:tcPr>
            <w:tcW w:w="1458" w:type="dxa"/>
            <w:tcBorders>
              <w:top w:val="nil"/>
              <w:left w:val="single" w:color="auto" w:sz="12" w:space="0"/>
              <w:bottom w:val="single" w:color="auto" w:sz="12" w:space="0"/>
              <w:right w:val="single" w:color="auto" w:sz="12" w:space="0"/>
            </w:tcBorders>
          </w:tcPr>
          <w:p w14:paraId="6BD7D404">
            <w:pPr>
              <w:autoSpaceDE w:val="0"/>
              <w:autoSpaceDN w:val="0"/>
              <w:adjustRightInd w:val="0"/>
              <w:jc w:val="left"/>
              <w:rPr>
                <w:rFonts w:ascii="宋体" w:hAnsi="Times New Roman" w:cs="宋体"/>
                <w:color w:val="000000"/>
                <w:kern w:val="0"/>
                <w:sz w:val="22"/>
              </w:rPr>
            </w:pPr>
          </w:p>
        </w:tc>
        <w:tc>
          <w:tcPr>
            <w:tcW w:w="2116" w:type="dxa"/>
            <w:tcBorders>
              <w:top w:val="nil"/>
              <w:left w:val="nil"/>
              <w:bottom w:val="single" w:color="auto" w:sz="12" w:space="0"/>
              <w:right w:val="single" w:color="auto" w:sz="12" w:space="0"/>
            </w:tcBorders>
          </w:tcPr>
          <w:p w14:paraId="5590FD4F">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满意度（</w:t>
            </w:r>
            <w:r>
              <w:rPr>
                <w:rFonts w:ascii="Times New Roman" w:hAnsi="Times New Roman"/>
                <w:color w:val="000000"/>
                <w:kern w:val="0"/>
                <w:szCs w:val="21"/>
              </w:rPr>
              <w:t>5</w:t>
            </w:r>
            <w:r>
              <w:rPr>
                <w:rFonts w:hint="eastAsia" w:ascii="宋体" w:hAnsi="Times New Roman" w:cs="宋体"/>
                <w:color w:val="000000"/>
                <w:kern w:val="0"/>
                <w:szCs w:val="21"/>
              </w:rPr>
              <w:t>分）</w:t>
            </w:r>
          </w:p>
        </w:tc>
        <w:tc>
          <w:tcPr>
            <w:tcW w:w="2126" w:type="dxa"/>
            <w:tcBorders>
              <w:top w:val="nil"/>
              <w:left w:val="nil"/>
              <w:bottom w:val="single" w:color="auto" w:sz="12" w:space="0"/>
              <w:right w:val="single" w:color="auto" w:sz="12" w:space="0"/>
            </w:tcBorders>
          </w:tcPr>
          <w:p w14:paraId="785BC93B">
            <w:pPr>
              <w:autoSpaceDE w:val="0"/>
              <w:autoSpaceDN w:val="0"/>
              <w:adjustRightInd w:val="0"/>
              <w:jc w:val="left"/>
              <w:rPr>
                <w:rFonts w:ascii="宋体" w:hAnsi="Times New Roman" w:cs="宋体"/>
                <w:color w:val="000000"/>
                <w:kern w:val="0"/>
                <w:szCs w:val="21"/>
              </w:rPr>
            </w:pPr>
            <w:r>
              <w:rPr>
                <w:rFonts w:hint="eastAsia" w:ascii="宋体" w:hAnsi="Times New Roman" w:cs="宋体"/>
                <w:color w:val="000000"/>
                <w:kern w:val="0"/>
                <w:szCs w:val="21"/>
              </w:rPr>
              <w:t>服务对象满意度</w:t>
            </w:r>
          </w:p>
        </w:tc>
        <w:tc>
          <w:tcPr>
            <w:tcW w:w="1286" w:type="dxa"/>
            <w:tcBorders>
              <w:top w:val="nil"/>
              <w:left w:val="nil"/>
              <w:bottom w:val="single" w:color="auto" w:sz="12" w:space="0"/>
              <w:right w:val="single" w:color="auto" w:sz="12" w:space="0"/>
            </w:tcBorders>
          </w:tcPr>
          <w:p w14:paraId="71080A9C">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c>
          <w:tcPr>
            <w:tcW w:w="1276" w:type="dxa"/>
            <w:tcBorders>
              <w:top w:val="nil"/>
              <w:left w:val="nil"/>
              <w:bottom w:val="single" w:color="auto" w:sz="12" w:space="0"/>
              <w:right w:val="single" w:color="auto" w:sz="12" w:space="0"/>
            </w:tcBorders>
          </w:tcPr>
          <w:p w14:paraId="6CC97727">
            <w:pPr>
              <w:autoSpaceDE w:val="0"/>
              <w:autoSpaceDN w:val="0"/>
              <w:adjustRightInd w:val="0"/>
              <w:jc w:val="left"/>
              <w:rPr>
                <w:rFonts w:ascii="Times New Roman" w:hAnsi="Times New Roman"/>
                <w:color w:val="000000"/>
                <w:kern w:val="0"/>
                <w:szCs w:val="21"/>
              </w:rPr>
            </w:pPr>
            <w:r>
              <w:rPr>
                <w:rFonts w:ascii="Times New Roman" w:hAnsi="Times New Roman"/>
                <w:color w:val="000000"/>
                <w:kern w:val="0"/>
                <w:szCs w:val="21"/>
              </w:rPr>
              <w:t>5</w:t>
            </w:r>
          </w:p>
        </w:tc>
      </w:tr>
      <w:tr w14:paraId="2711F981">
        <w:tblPrEx>
          <w:tblCellMar>
            <w:top w:w="0" w:type="dxa"/>
            <w:left w:w="108" w:type="dxa"/>
            <w:bottom w:w="0" w:type="dxa"/>
            <w:right w:w="108" w:type="dxa"/>
          </w:tblCellMar>
        </w:tblPrEx>
        <w:trPr>
          <w:trHeight w:val="286" w:hRule="atLeast"/>
        </w:trPr>
        <w:tc>
          <w:tcPr>
            <w:tcW w:w="1458" w:type="dxa"/>
            <w:tcBorders>
              <w:top w:val="single" w:color="auto" w:sz="12" w:space="0"/>
              <w:left w:val="single" w:color="auto" w:sz="12" w:space="0"/>
              <w:bottom w:val="single" w:color="auto" w:sz="12" w:space="0"/>
              <w:right w:val="nil"/>
            </w:tcBorders>
          </w:tcPr>
          <w:p w14:paraId="28D51F44">
            <w:pPr>
              <w:autoSpaceDE w:val="0"/>
              <w:autoSpaceDN w:val="0"/>
              <w:adjustRightInd w:val="0"/>
              <w:jc w:val="left"/>
              <w:rPr>
                <w:rFonts w:ascii="宋体" w:hAnsi="Times New Roman" w:cs="宋体"/>
                <w:b/>
                <w:bCs/>
                <w:color w:val="000000"/>
                <w:kern w:val="0"/>
                <w:szCs w:val="21"/>
              </w:rPr>
            </w:pPr>
            <w:r>
              <w:rPr>
                <w:rFonts w:hint="eastAsia" w:ascii="宋体" w:hAnsi="Times New Roman" w:cs="宋体"/>
                <w:b/>
                <w:bCs/>
                <w:color w:val="000000"/>
                <w:kern w:val="0"/>
                <w:szCs w:val="21"/>
              </w:rPr>
              <w:t>合计</w:t>
            </w:r>
          </w:p>
        </w:tc>
        <w:tc>
          <w:tcPr>
            <w:tcW w:w="2116" w:type="dxa"/>
            <w:tcBorders>
              <w:top w:val="single" w:color="auto" w:sz="12" w:space="0"/>
              <w:left w:val="nil"/>
              <w:bottom w:val="single" w:color="auto" w:sz="12" w:space="0"/>
              <w:right w:val="nil"/>
            </w:tcBorders>
          </w:tcPr>
          <w:p w14:paraId="324677C4">
            <w:pPr>
              <w:autoSpaceDE w:val="0"/>
              <w:autoSpaceDN w:val="0"/>
              <w:adjustRightInd w:val="0"/>
              <w:jc w:val="left"/>
              <w:rPr>
                <w:rFonts w:ascii="宋体" w:hAnsi="Times New Roman" w:cs="宋体"/>
                <w:b/>
                <w:bCs/>
                <w:color w:val="000000"/>
                <w:kern w:val="0"/>
                <w:szCs w:val="21"/>
              </w:rPr>
            </w:pPr>
          </w:p>
        </w:tc>
        <w:tc>
          <w:tcPr>
            <w:tcW w:w="2126" w:type="dxa"/>
            <w:tcBorders>
              <w:top w:val="single" w:color="auto" w:sz="12" w:space="0"/>
              <w:left w:val="nil"/>
              <w:bottom w:val="single" w:color="auto" w:sz="12" w:space="0"/>
              <w:right w:val="single" w:color="000000" w:sz="12" w:space="0"/>
            </w:tcBorders>
          </w:tcPr>
          <w:p w14:paraId="70718D86">
            <w:pPr>
              <w:autoSpaceDE w:val="0"/>
              <w:autoSpaceDN w:val="0"/>
              <w:adjustRightInd w:val="0"/>
              <w:jc w:val="left"/>
              <w:rPr>
                <w:rFonts w:ascii="宋体" w:hAnsi="Times New Roman" w:cs="宋体"/>
                <w:b/>
                <w:bCs/>
                <w:color w:val="000000"/>
                <w:kern w:val="0"/>
                <w:szCs w:val="21"/>
              </w:rPr>
            </w:pPr>
          </w:p>
        </w:tc>
        <w:tc>
          <w:tcPr>
            <w:tcW w:w="1286" w:type="dxa"/>
            <w:tcBorders>
              <w:top w:val="nil"/>
              <w:left w:val="nil"/>
              <w:bottom w:val="single" w:color="auto" w:sz="12" w:space="0"/>
              <w:right w:val="single" w:color="auto" w:sz="12" w:space="0"/>
            </w:tcBorders>
          </w:tcPr>
          <w:p w14:paraId="4E44E90D">
            <w:pPr>
              <w:autoSpaceDE w:val="0"/>
              <w:autoSpaceDN w:val="0"/>
              <w:adjustRightInd w:val="0"/>
              <w:jc w:val="left"/>
              <w:rPr>
                <w:rFonts w:ascii="Times New Roman" w:hAnsi="Times New Roman"/>
                <w:b/>
                <w:bCs/>
                <w:color w:val="000000"/>
                <w:kern w:val="0"/>
                <w:szCs w:val="21"/>
              </w:rPr>
            </w:pPr>
            <w:r>
              <w:rPr>
                <w:rFonts w:ascii="Times New Roman" w:hAnsi="Times New Roman"/>
                <w:b/>
                <w:bCs/>
                <w:color w:val="000000"/>
                <w:kern w:val="0"/>
                <w:szCs w:val="21"/>
              </w:rPr>
              <w:t>100</w:t>
            </w:r>
          </w:p>
        </w:tc>
        <w:tc>
          <w:tcPr>
            <w:tcW w:w="1276" w:type="dxa"/>
            <w:tcBorders>
              <w:top w:val="nil"/>
              <w:left w:val="nil"/>
              <w:bottom w:val="single" w:color="auto" w:sz="12" w:space="0"/>
              <w:right w:val="single" w:color="auto" w:sz="12" w:space="0"/>
            </w:tcBorders>
          </w:tcPr>
          <w:p w14:paraId="60DFAC4E">
            <w:pPr>
              <w:autoSpaceDE w:val="0"/>
              <w:autoSpaceDN w:val="0"/>
              <w:adjustRightInd w:val="0"/>
              <w:jc w:val="left"/>
              <w:rPr>
                <w:rFonts w:ascii="Times New Roman" w:hAnsi="Times New Roman"/>
                <w:b/>
                <w:bCs/>
                <w:color w:val="000000"/>
                <w:kern w:val="0"/>
                <w:szCs w:val="21"/>
              </w:rPr>
            </w:pPr>
            <w:r>
              <w:rPr>
                <w:rFonts w:ascii="Times New Roman" w:hAnsi="Times New Roman"/>
                <w:b/>
                <w:bCs/>
                <w:color w:val="000000"/>
                <w:kern w:val="0"/>
                <w:szCs w:val="21"/>
              </w:rPr>
              <w:t>98</w:t>
            </w:r>
          </w:p>
        </w:tc>
      </w:tr>
    </w:tbl>
    <w:p w14:paraId="76BFA358">
      <w:pPr>
        <w:autoSpaceDE w:val="0"/>
        <w:autoSpaceDN w:val="0"/>
        <w:adjustRightInd w:val="0"/>
        <w:spacing w:line="600" w:lineRule="exact"/>
        <w:rPr>
          <w:rFonts w:ascii="Times New Roman" w:hAnsi="Times New Roman" w:eastAsia="仿宋_GB2312"/>
          <w:kern w:val="0"/>
          <w:sz w:val="32"/>
          <w:szCs w:val="32"/>
        </w:rPr>
      </w:pPr>
    </w:p>
    <w:p w14:paraId="50079B82">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绩效</w:t>
      </w:r>
      <w:r>
        <w:rPr>
          <w:rFonts w:hint="eastAsia" w:ascii="Times New Roman" w:hAnsi="Times New Roman" w:eastAsia="仿宋_GB2312"/>
          <w:kern w:val="0"/>
          <w:sz w:val="32"/>
          <w:szCs w:val="32"/>
        </w:rPr>
        <w:t>指标</w:t>
      </w:r>
      <w:r>
        <w:rPr>
          <w:rFonts w:ascii="Times New Roman" w:hAnsi="Times New Roman" w:eastAsia="仿宋_GB2312"/>
          <w:kern w:val="0"/>
          <w:sz w:val="32"/>
          <w:szCs w:val="32"/>
        </w:rPr>
        <w:t xml:space="preserve">目标完成情况分析如下： </w:t>
      </w:r>
    </w:p>
    <w:p w14:paraId="1AB778A9">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1．</w:t>
      </w:r>
      <w:r>
        <w:rPr>
          <w:rFonts w:ascii="Times New Roman" w:hAnsi="Times New Roman" w:eastAsia="仿宋_GB2312"/>
          <w:kern w:val="0"/>
          <w:sz w:val="32"/>
          <w:szCs w:val="32"/>
        </w:rPr>
        <w:t>项目决策：第十</w:t>
      </w:r>
      <w:r>
        <w:rPr>
          <w:rFonts w:hint="eastAsia" w:ascii="Times New Roman" w:hAnsi="Times New Roman" w:eastAsia="仿宋_GB2312"/>
          <w:kern w:val="0"/>
          <w:sz w:val="32"/>
          <w:szCs w:val="32"/>
        </w:rPr>
        <w:t>一</w:t>
      </w:r>
      <w:r>
        <w:rPr>
          <w:rFonts w:ascii="Times New Roman" w:hAnsi="Times New Roman" w:eastAsia="仿宋_GB2312"/>
          <w:kern w:val="0"/>
          <w:sz w:val="32"/>
          <w:szCs w:val="32"/>
        </w:rPr>
        <w:t>届攀枝花欢乐阳光节活动经费项目立项依据充分、程序合规、项目资金使用计划可行、审批手续齐全。市旅游局在制定</w:t>
      </w:r>
      <w:r>
        <w:rPr>
          <w:rFonts w:hint="eastAsia" w:ascii="Times New Roman" w:hAnsi="Times New Roman" w:eastAsia="仿宋_GB2312"/>
          <w:kern w:val="0"/>
          <w:sz w:val="32"/>
          <w:szCs w:val="32"/>
        </w:rPr>
        <w:t>活动</w:t>
      </w:r>
      <w:r>
        <w:rPr>
          <w:rFonts w:ascii="Times New Roman" w:hAnsi="Times New Roman" w:eastAsia="仿宋_GB2312"/>
          <w:kern w:val="0"/>
          <w:sz w:val="32"/>
          <w:szCs w:val="32"/>
        </w:rPr>
        <w:t xml:space="preserve">经费项目预算时，明确了文化旅游发展工作思路、发展目标和工作任务等。 </w:t>
      </w:r>
    </w:p>
    <w:p w14:paraId="63BFA44D">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2．</w:t>
      </w:r>
      <w:r>
        <w:rPr>
          <w:rFonts w:ascii="Times New Roman" w:hAnsi="Times New Roman" w:eastAsia="仿宋_GB2312"/>
          <w:kern w:val="0"/>
          <w:sz w:val="32"/>
          <w:szCs w:val="32"/>
        </w:rPr>
        <w:t xml:space="preserve">项目管理：项目组织机构健全，分工明确，项目资金管理制度健全，资金申报、评审、批准、下达程序规范，制定了资金分配方案，资金分配合理，项目资金使用规范，无截留、挤占、挪用项目资金情况，项目资金到位率100%。 </w:t>
      </w:r>
    </w:p>
    <w:p w14:paraId="2E347C93">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3．</w:t>
      </w:r>
      <w:r>
        <w:rPr>
          <w:rFonts w:ascii="Times New Roman" w:hAnsi="Times New Roman" w:eastAsia="仿宋_GB2312"/>
          <w:kern w:val="0"/>
          <w:sz w:val="32"/>
          <w:szCs w:val="32"/>
        </w:rPr>
        <w:t>项目</w:t>
      </w:r>
      <w:r>
        <w:rPr>
          <w:rFonts w:hint="eastAsia" w:ascii="Times New Roman" w:hAnsi="Times New Roman" w:eastAsia="仿宋_GB2312"/>
          <w:kern w:val="0"/>
          <w:sz w:val="32"/>
          <w:szCs w:val="32"/>
        </w:rPr>
        <w:t>绩效</w:t>
      </w:r>
      <w:r>
        <w:rPr>
          <w:rFonts w:ascii="Times New Roman" w:hAnsi="Times New Roman" w:eastAsia="仿宋_GB2312"/>
          <w:kern w:val="0"/>
          <w:sz w:val="32"/>
          <w:szCs w:val="32"/>
        </w:rPr>
        <w:t>:通过项目实施，促进了文旅经济</w:t>
      </w:r>
      <w:r>
        <w:rPr>
          <w:rFonts w:hint="eastAsia" w:ascii="Times New Roman" w:hAnsi="Times New Roman" w:eastAsia="仿宋_GB2312"/>
          <w:kern w:val="0"/>
          <w:sz w:val="32"/>
          <w:szCs w:val="32"/>
        </w:rPr>
        <w:t>的</w:t>
      </w:r>
      <w:r>
        <w:rPr>
          <w:rFonts w:ascii="Times New Roman" w:hAnsi="Times New Roman" w:eastAsia="仿宋_GB2312"/>
          <w:kern w:val="0"/>
          <w:sz w:val="32"/>
          <w:szCs w:val="32"/>
        </w:rPr>
        <w:t>增长，项目社会效益显著，经济效益</w:t>
      </w:r>
      <w:r>
        <w:rPr>
          <w:rFonts w:hint="eastAsia" w:ascii="Times New Roman" w:hAnsi="Times New Roman" w:eastAsia="仿宋_GB2312"/>
          <w:kern w:val="0"/>
          <w:sz w:val="32"/>
          <w:szCs w:val="32"/>
        </w:rPr>
        <w:t>、</w:t>
      </w:r>
      <w:r>
        <w:rPr>
          <w:rFonts w:ascii="Times New Roman" w:hAnsi="Times New Roman" w:eastAsia="仿宋_GB2312"/>
          <w:kern w:val="0"/>
          <w:sz w:val="32"/>
          <w:szCs w:val="32"/>
        </w:rPr>
        <w:t>群众和游客满意度提高。</w:t>
      </w:r>
    </w:p>
    <w:p w14:paraId="70FB9DFC">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（二）存在的问题。</w:t>
      </w:r>
    </w:p>
    <w:p w14:paraId="2DFD148E">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仿宋_GB2312"/>
          <w:kern w:val="0"/>
          <w:sz w:val="32"/>
          <w:szCs w:val="32"/>
        </w:rPr>
        <w:t>绩效指标目标值及指标体系的设定有待进一步科学及合理化。项目的年度绩效目标和预期产出或效果等细化、量化的绩效指标数值不够具体、明确。</w:t>
      </w:r>
    </w:p>
    <w:p w14:paraId="09EC57E8">
      <w:pPr>
        <w:autoSpaceDE w:val="0"/>
        <w:autoSpaceDN w:val="0"/>
        <w:adjustRightInd w:val="0"/>
        <w:spacing w:line="600" w:lineRule="exact"/>
        <w:ind w:firstLine="640" w:firstLineChars="200"/>
        <w:rPr>
          <w:rFonts w:ascii="Times New Roman" w:hAnsi="Times New Roman" w:eastAsia="楷体_GB2312"/>
          <w:kern w:val="0"/>
          <w:sz w:val="32"/>
          <w:szCs w:val="32"/>
        </w:rPr>
      </w:pPr>
      <w:r>
        <w:rPr>
          <w:rFonts w:ascii="Times New Roman" w:hAnsi="Times New Roman" w:eastAsia="楷体_GB2312"/>
          <w:kern w:val="0"/>
          <w:sz w:val="32"/>
          <w:szCs w:val="32"/>
        </w:rPr>
        <w:t>（三）相关建议。</w:t>
      </w:r>
    </w:p>
    <w:p w14:paraId="54880C23">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1．</w:t>
      </w:r>
      <w:r>
        <w:rPr>
          <w:rFonts w:ascii="Times New Roman" w:hAnsi="Times New Roman" w:eastAsia="仿宋_GB2312"/>
          <w:kern w:val="0"/>
          <w:sz w:val="32"/>
          <w:szCs w:val="32"/>
        </w:rPr>
        <w:t xml:space="preserve">进一步优化项目数量、合理分配项目资金，突出重大重点项目。一是以全域旅游、“十三五”规划为主线，明确项目大类，优化项目数量，突出重点项目。在项目评审环节，综合意见，严格审核项目，从源头把控项目数量与质量。二是制定合理的扶持标准。根据文化旅游发展政策导向、项目性质、项目重要程度等相关因素，制定包括项目类别、项目单位资质、项目投资规模、扶持资金额度等的具体标准。三是有的放矢、有取有舍。每年针对文化旅游工作重点，选择重点项目，加大投入，达到调整文旅发展专项资金支出结构的目的。 </w:t>
      </w:r>
    </w:p>
    <w:p w14:paraId="7B7E08A9">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2．</w:t>
      </w:r>
      <w:r>
        <w:rPr>
          <w:rFonts w:ascii="Times New Roman" w:hAnsi="Times New Roman" w:eastAsia="仿宋_GB2312"/>
          <w:kern w:val="0"/>
          <w:sz w:val="32"/>
          <w:szCs w:val="32"/>
        </w:rPr>
        <w:t xml:space="preserve">明确申报、审核、拨付流程，加强对项目单位的监督检查，全面落实各项管理制度，进一步提高项目管理水平。一是建立项目信息化管理系统，有利于更好地掌握项目信息。二是规范项目单位财务核算。三是加强项目资金财务人员培训，进一步提高项目管理水平。定期进行项目管理、资金使用、财政监督、绩效目标等内容的培训，提高经办人员的管理水平。 </w:t>
      </w:r>
    </w:p>
    <w:p w14:paraId="6B8F939B">
      <w:pPr>
        <w:autoSpaceDE w:val="0"/>
        <w:autoSpaceDN w:val="0"/>
        <w:adjustRightInd w:val="0"/>
        <w:spacing w:line="600" w:lineRule="exact"/>
        <w:ind w:firstLine="640" w:firstLineChars="200"/>
        <w:rPr>
          <w:rFonts w:ascii="Times New Roman" w:hAnsi="Times New Roman" w:eastAsia="仿宋_GB2312"/>
          <w:kern w:val="0"/>
          <w:sz w:val="32"/>
          <w:szCs w:val="32"/>
        </w:rPr>
      </w:pPr>
      <w:r>
        <w:rPr>
          <w:rFonts w:ascii="Times New Roman" w:hAnsi="Times New Roman" w:eastAsia="楷体_GB2312"/>
          <w:kern w:val="0"/>
          <w:sz w:val="32"/>
          <w:szCs w:val="32"/>
        </w:rPr>
        <w:t>3．</w:t>
      </w:r>
      <w:r>
        <w:rPr>
          <w:rFonts w:ascii="Times New Roman" w:hAnsi="Times New Roman" w:eastAsia="仿宋_GB2312"/>
          <w:kern w:val="0"/>
          <w:sz w:val="32"/>
          <w:szCs w:val="32"/>
        </w:rPr>
        <w:t>进一步规范文旅专项资金的管理。对于文旅专项资金的管理，突出财政资金的引导作用，保证专项资金使用的安全性、及时性和有效性，必须加强对资金使用情况的追踪问效，保证专款专用，提高文旅专项资金的使用效益。一是逐步建立科学完善的文化旅游发展专项资金绩效目标管理体系。二是注重文化旅游发展专项资金绩效评价的利用价值。三是建立项目长效考评机制。在专项资金执行过程中，与项目建设单位建立长效考评机制，以保证项目建设单位按进度完成分解的绩效目标。</w:t>
      </w:r>
    </w:p>
    <w:p w14:paraId="0917B88A">
      <w:pPr>
        <w:autoSpaceDE w:val="0"/>
        <w:autoSpaceDN w:val="0"/>
        <w:adjustRightInd w:val="0"/>
        <w:spacing w:line="600" w:lineRule="exact"/>
        <w:ind w:firstLine="640" w:firstLineChars="200"/>
        <w:rPr>
          <w:rFonts w:ascii="Times New Roman" w:hAnsi="Times New Roman" w:eastAsia="仿宋_GB2312"/>
          <w:kern w:val="0"/>
          <w:sz w:val="32"/>
          <w:szCs w:val="32"/>
        </w:rPr>
      </w:pPr>
    </w:p>
    <w:p w14:paraId="177DA5A8">
      <w:pPr>
        <w:autoSpaceDE w:val="0"/>
        <w:autoSpaceDN w:val="0"/>
        <w:adjustRightInd w:val="0"/>
        <w:spacing w:line="600" w:lineRule="exact"/>
        <w:ind w:firstLine="640" w:firstLineChars="200"/>
        <w:rPr>
          <w:rFonts w:ascii="Times New Roman" w:hAnsi="Times New Roman" w:eastAsia="仿宋_GB2312"/>
          <w:kern w:val="0"/>
          <w:sz w:val="32"/>
          <w:szCs w:val="32"/>
        </w:rPr>
      </w:pPr>
    </w:p>
    <w:sectPr>
      <w:footerReference r:id="rId3" w:type="default"/>
      <w:pgSz w:w="11906" w:h="16838"/>
      <w:pgMar w:top="1418" w:right="1474" w:bottom="1418"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_GBK">
    <w:altName w:val="宋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310908"/>
      <w:docPartObj>
        <w:docPartGallery w:val="AutoText"/>
      </w:docPartObj>
    </w:sdtPr>
    <w:sdtContent>
      <w:p w14:paraId="2D6B8895">
        <w:pPr>
          <w:pStyle w:val="2"/>
          <w:jc w:val="center"/>
        </w:pPr>
        <w:r>
          <w:fldChar w:fldCharType="begin"/>
        </w:r>
        <w:r>
          <w:instrText xml:space="preserve"> PAGE   \* MERGEFORMAT </w:instrText>
        </w:r>
        <w:r>
          <w:fldChar w:fldCharType="separate"/>
        </w:r>
        <w:r>
          <w:rPr>
            <w:lang w:val="zh-CN"/>
          </w:rPr>
          <w:t>13</w:t>
        </w:r>
        <w:r>
          <w:rPr>
            <w:lang w:val="zh-CN"/>
          </w:rPr>
          <w:fldChar w:fldCharType="end"/>
        </w:r>
      </w:p>
    </w:sdtContent>
  </w:sdt>
  <w:p w14:paraId="18B34D3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70605"/>
    <w:rsid w:val="00015A76"/>
    <w:rsid w:val="00063039"/>
    <w:rsid w:val="000B6B3B"/>
    <w:rsid w:val="000F07EF"/>
    <w:rsid w:val="000F2BD4"/>
    <w:rsid w:val="00103DE8"/>
    <w:rsid w:val="00114657"/>
    <w:rsid w:val="001351AA"/>
    <w:rsid w:val="00144DE8"/>
    <w:rsid w:val="001A3DA2"/>
    <w:rsid w:val="001A4123"/>
    <w:rsid w:val="001B1B97"/>
    <w:rsid w:val="001C17F8"/>
    <w:rsid w:val="001C2EA0"/>
    <w:rsid w:val="001D3987"/>
    <w:rsid w:val="001F7235"/>
    <w:rsid w:val="002A68AA"/>
    <w:rsid w:val="002D38E4"/>
    <w:rsid w:val="002D4800"/>
    <w:rsid w:val="002E1A69"/>
    <w:rsid w:val="002E7F68"/>
    <w:rsid w:val="002F19BE"/>
    <w:rsid w:val="003244FD"/>
    <w:rsid w:val="003667A3"/>
    <w:rsid w:val="003C0BF3"/>
    <w:rsid w:val="003C0E42"/>
    <w:rsid w:val="003F651E"/>
    <w:rsid w:val="00401F3C"/>
    <w:rsid w:val="00403768"/>
    <w:rsid w:val="00421C3A"/>
    <w:rsid w:val="004554FA"/>
    <w:rsid w:val="00462762"/>
    <w:rsid w:val="004E14D5"/>
    <w:rsid w:val="004E35A7"/>
    <w:rsid w:val="005203A5"/>
    <w:rsid w:val="005278C3"/>
    <w:rsid w:val="0053603B"/>
    <w:rsid w:val="00540E96"/>
    <w:rsid w:val="00544ADD"/>
    <w:rsid w:val="005C3A32"/>
    <w:rsid w:val="005E530D"/>
    <w:rsid w:val="00617C4A"/>
    <w:rsid w:val="00624BF2"/>
    <w:rsid w:val="006265F0"/>
    <w:rsid w:val="00635AF8"/>
    <w:rsid w:val="00647D79"/>
    <w:rsid w:val="00672214"/>
    <w:rsid w:val="006D2CA5"/>
    <w:rsid w:val="006D3061"/>
    <w:rsid w:val="0070391B"/>
    <w:rsid w:val="00704251"/>
    <w:rsid w:val="00715205"/>
    <w:rsid w:val="00720786"/>
    <w:rsid w:val="00726983"/>
    <w:rsid w:val="00741006"/>
    <w:rsid w:val="00750227"/>
    <w:rsid w:val="00774F53"/>
    <w:rsid w:val="00782727"/>
    <w:rsid w:val="00790C4E"/>
    <w:rsid w:val="007950BB"/>
    <w:rsid w:val="007A4BE8"/>
    <w:rsid w:val="007F4ED5"/>
    <w:rsid w:val="008129CA"/>
    <w:rsid w:val="008325A9"/>
    <w:rsid w:val="00854A85"/>
    <w:rsid w:val="008558BF"/>
    <w:rsid w:val="00860859"/>
    <w:rsid w:val="00865154"/>
    <w:rsid w:val="00870605"/>
    <w:rsid w:val="00882765"/>
    <w:rsid w:val="008A17A6"/>
    <w:rsid w:val="008B0A6D"/>
    <w:rsid w:val="00913036"/>
    <w:rsid w:val="0093241E"/>
    <w:rsid w:val="009B5888"/>
    <w:rsid w:val="009D6D63"/>
    <w:rsid w:val="009E2BCD"/>
    <w:rsid w:val="00A048C5"/>
    <w:rsid w:val="00A06BA5"/>
    <w:rsid w:val="00A14241"/>
    <w:rsid w:val="00A34174"/>
    <w:rsid w:val="00A71BED"/>
    <w:rsid w:val="00A75D04"/>
    <w:rsid w:val="00A77CCB"/>
    <w:rsid w:val="00AA597E"/>
    <w:rsid w:val="00B14CF0"/>
    <w:rsid w:val="00B156A8"/>
    <w:rsid w:val="00B67B08"/>
    <w:rsid w:val="00B74765"/>
    <w:rsid w:val="00B82F63"/>
    <w:rsid w:val="00B858B6"/>
    <w:rsid w:val="00B92722"/>
    <w:rsid w:val="00BF5AAA"/>
    <w:rsid w:val="00C3348D"/>
    <w:rsid w:val="00C424B6"/>
    <w:rsid w:val="00CB6047"/>
    <w:rsid w:val="00CF7AC9"/>
    <w:rsid w:val="00D325B6"/>
    <w:rsid w:val="00D418C6"/>
    <w:rsid w:val="00D4706F"/>
    <w:rsid w:val="00D67D37"/>
    <w:rsid w:val="00D91C2B"/>
    <w:rsid w:val="00D93EA8"/>
    <w:rsid w:val="00DE1EDD"/>
    <w:rsid w:val="00E03A90"/>
    <w:rsid w:val="00E342FF"/>
    <w:rsid w:val="00E43366"/>
    <w:rsid w:val="00E47149"/>
    <w:rsid w:val="00E47605"/>
    <w:rsid w:val="00E67FA1"/>
    <w:rsid w:val="00E800F7"/>
    <w:rsid w:val="00E85D00"/>
    <w:rsid w:val="00E94B1F"/>
    <w:rsid w:val="00EE2903"/>
    <w:rsid w:val="00F0330D"/>
    <w:rsid w:val="00F034EA"/>
    <w:rsid w:val="00F04361"/>
    <w:rsid w:val="00F37D5B"/>
    <w:rsid w:val="00F430C0"/>
    <w:rsid w:val="00F61FF4"/>
    <w:rsid w:val="00F92406"/>
    <w:rsid w:val="00FD7F02"/>
    <w:rsid w:val="05583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Autospacing="1" w:afterAutospacing="1"/>
      <w:jc w:val="left"/>
    </w:pPr>
    <w:rPr>
      <w:kern w:val="0"/>
      <w:sz w:val="24"/>
      <w:szCs w:val="24"/>
    </w:rPr>
  </w:style>
  <w:style w:type="character" w:customStyle="1" w:styleId="7">
    <w:name w:val="页眉 Char"/>
    <w:basedOn w:val="6"/>
    <w:link w:val="3"/>
    <w:qFormat/>
    <w:uiPriority w:val="99"/>
    <w:rPr>
      <w:rFonts w:ascii="Calibri" w:hAnsi="Calibri" w:eastAsia="宋体" w:cs="Times New Roman"/>
      <w:sz w:val="18"/>
      <w:szCs w:val="18"/>
    </w:rPr>
  </w:style>
  <w:style w:type="character" w:customStyle="1" w:styleId="8">
    <w:name w:val="页脚 Char"/>
    <w:basedOn w:val="6"/>
    <w:link w:val="2"/>
    <w:qFormat/>
    <w:uiPriority w:val="99"/>
    <w:rPr>
      <w:rFonts w:ascii="Calibri" w:hAnsi="Calibri"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3586</Words>
  <Characters>3762</Characters>
  <Lines>49</Lines>
  <Paragraphs>13</Paragraphs>
  <TotalTime>1</TotalTime>
  <ScaleCrop>false</ScaleCrop>
  <LinksUpToDate>false</LinksUpToDate>
  <CharactersWithSpaces>3769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2022-06-10T02:15:00Z</dcterms:created>
  <dc:creator>王国钢</dc:creator>
  <cp:lastModifiedBy>王羽</cp:lastModifiedBy>
  <dcterms:modified xsi:type="dcterms:W3CDTF">2025-01-15T10:01:00Z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eyJoZGlkIjoiZmIzZjExODZjZTdlNzI5NzkwMDdlYWFhNGUyYjdkODAiLCJ1c2VySWQiOiI3Mzc4ODY0MDUifQ==</vt:lpwstr>
  </property>
  <property fmtid="{D5CDD505-2E9C-101B-9397-08002B2CF9AE}" pid="3" name="KSOProductBuildVer">
    <vt:lpwstr>2052-12.1.0.19770</vt:lpwstr>
  </property>
  <property fmtid="{D5CDD505-2E9C-101B-9397-08002B2CF9AE}" pid="4" name="ICV">
    <vt:lpwstr>CCCFC534F4A74359912A9AD40D3EFE22_12</vt:lpwstr>
  </property>
</Properties>
</file>